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D7" w:rsidRPr="00F62758" w:rsidRDefault="00965725" w:rsidP="00AB50CA">
      <w:pPr>
        <w:spacing w:after="0"/>
        <w:ind w:left="5040"/>
        <w:jc w:val="right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-604520</wp:posOffset>
            </wp:positionV>
            <wp:extent cx="2143125" cy="11334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A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Warszawa, 29 </w:t>
      </w:r>
      <w:r w:rsidR="008566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sierpnia </w:t>
      </w:r>
      <w:r w:rsidR="001410E4">
        <w:rPr>
          <w:rFonts w:asciiTheme="majorHAnsi" w:eastAsia="Times New Roman" w:hAnsiTheme="majorHAnsi" w:cs="Times New Roman"/>
          <w:sz w:val="24"/>
          <w:szCs w:val="24"/>
          <w:lang w:eastAsia="pl-PL"/>
        </w:rPr>
        <w:t>2018</w:t>
      </w:r>
      <w:r w:rsidR="001310B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6F58D7" w:rsidRPr="00F62758" w:rsidRDefault="006F58D7" w:rsidP="00AB50CA">
      <w:pPr>
        <w:spacing w:after="0"/>
        <w:jc w:val="both"/>
        <w:textAlignment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965725" w:rsidRDefault="00965725" w:rsidP="00AB50CA">
      <w:pPr>
        <w:spacing w:after="0"/>
        <w:jc w:val="both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AB50CA" w:rsidRDefault="00AB50CA" w:rsidP="00AB50CA">
      <w:pPr>
        <w:spacing w:after="0"/>
        <w:ind w:left="720" w:firstLine="720"/>
        <w:jc w:val="both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AB50CA" w:rsidRDefault="00AB50CA" w:rsidP="00AB50CA">
      <w:pPr>
        <w:spacing w:after="0"/>
        <w:ind w:left="720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1835A4" w:rsidRDefault="006F58D7" w:rsidP="00AB50CA">
      <w:pPr>
        <w:spacing w:after="0"/>
        <w:ind w:left="720"/>
        <w:jc w:val="center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0A1E1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Stanowisko </w:t>
      </w:r>
      <w:r w:rsidR="000A1E1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Rady </w:t>
      </w:r>
      <w:r w:rsidRPr="000A1E1C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Towarzystwa Ekonomistów Polskich</w:t>
      </w:r>
      <w:r w:rsidR="00AB50CA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</w:t>
      </w:r>
    </w:p>
    <w:p w:rsidR="001410E4" w:rsidRPr="00AB50CA" w:rsidRDefault="001410E4" w:rsidP="00AB50CA">
      <w:pPr>
        <w:spacing w:after="0"/>
        <w:ind w:left="720"/>
        <w:jc w:val="center"/>
        <w:textAlignment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proofErr w:type="gramStart"/>
      <w:r w:rsidRPr="001410E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w</w:t>
      </w:r>
      <w:proofErr w:type="gramEnd"/>
      <w:r w:rsidRPr="001410E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sprawie </w:t>
      </w:r>
      <w:r w:rsidR="00187E1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dużych różnic w produktywności</w:t>
      </w:r>
      <w:r w:rsidR="0075789F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</w:t>
      </w:r>
      <w:r w:rsidRPr="001410E4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w Polsce</w:t>
      </w:r>
    </w:p>
    <w:p w:rsidR="006F58D7" w:rsidRPr="00F62758" w:rsidRDefault="006F58D7" w:rsidP="00AB50CA">
      <w:pPr>
        <w:spacing w:after="0"/>
        <w:ind w:left="1440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627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115338" w:rsidRPr="00115338" w:rsidRDefault="00763175" w:rsidP="00816B07">
      <w:pPr>
        <w:spacing w:before="120" w:after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Od 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1989 roku rozwinęło się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 Polsce 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wiele bardzo wydajnych przedsiębiorstw, któr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ych produktywność jest obecnie 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porównywaln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tej, jak</w:t>
      </w:r>
      <w:r w:rsidR="0085666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ą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osiągają 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firm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y</w:t>
      </w:r>
      <w:r w:rsidR="00C839F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Europy Zachodniej. Jednocześnie jednak obok </w:t>
      </w:r>
      <w:r w:rsidR="002014C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tych liderów produktywności 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funkcjonuje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 naszym kraju 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wiele podmiotów </w:t>
      </w:r>
      <w:r w:rsidR="002014C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 bardzo niskiej 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wydajn</w:t>
      </w:r>
      <w:r w:rsidR="002014C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ości</w:t>
      </w:r>
      <w:r w:rsidR="0025404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</w:t>
      </w:r>
    </w:p>
    <w:p w:rsidR="0025404B" w:rsidRPr="00FD026C" w:rsidRDefault="00763175" w:rsidP="00FD026C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Można szacować</w:t>
      </w:r>
      <w:r w:rsidR="0025404B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, że połowę polskiego P</w:t>
      </w:r>
      <w:r w:rsidR="00C839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roduktu Krajowego Brutto </w:t>
      </w:r>
      <w:r w:rsidR="007352A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(PKB) </w:t>
      </w:r>
      <w:proofErr w:type="gramStart"/>
      <w:r w:rsidR="0025404B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wytwarza co</w:t>
      </w:r>
      <w:proofErr w:type="gramEnd"/>
      <w:r w:rsidR="0025404B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najwyżej 5,6 mln osób pracujących przede wszystkim w spółkach kapitałowych</w:t>
      </w:r>
      <w:r w:rsidR="00463AC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25404B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czyli przedsiębiorstwach mających osobowość prawną.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Pozostała część PKB </w:t>
      </w:r>
      <w:r w:rsidR="00463AC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powstaje przy udziale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pozostał</w:t>
      </w:r>
      <w:r w:rsidR="00463ACF">
        <w:rPr>
          <w:rFonts w:asciiTheme="majorHAnsi" w:eastAsia="Times New Roman" w:hAnsiTheme="majorHAnsi" w:cs="Times New Roman"/>
          <w:sz w:val="24"/>
          <w:szCs w:val="24"/>
          <w:lang w:eastAsia="pl-PL"/>
        </w:rPr>
        <w:t>ych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10 mln osób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które pracują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mikroprzedsiębiorstwach, sektorze publicznym, rolnictwie,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jako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samozatrudni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eni</w:t>
      </w:r>
      <w:r w:rsidR="00F801DB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839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pozostają w szarej strefie </w:t>
      </w:r>
      <w:r w:rsidR="00F801DB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(Łaszek i Trzeciakowski 2018)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B71785">
        <w:rPr>
          <w:rFonts w:asciiTheme="majorHAnsi" w:eastAsia="Times New Roman" w:hAnsiTheme="majorHAnsi" w:cs="Times New Roman"/>
          <w:sz w:val="24"/>
          <w:szCs w:val="24"/>
          <w:lang w:eastAsia="pl-PL"/>
        </w:rPr>
        <w:t>Duże r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óżnic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produktywności ma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ją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także wymiar przestrzenny. </w:t>
      </w:r>
      <w:r w:rsidR="00B71785">
        <w:rPr>
          <w:rFonts w:asciiTheme="majorHAnsi" w:eastAsia="Times New Roman" w:hAnsiTheme="majorHAnsi" w:cs="Times New Roman"/>
          <w:sz w:val="24"/>
          <w:szCs w:val="24"/>
          <w:lang w:eastAsia="pl-PL"/>
        </w:rPr>
        <w:t>Na tle wielu rozwiniętych krajów UE p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oziom urbanizacji w Polsce pozostaje relatywnie niski</w:t>
      </w:r>
      <w:r w:rsidR="00382782">
        <w:rPr>
          <w:rFonts w:asciiTheme="majorHAnsi" w:eastAsia="Times New Roman" w:hAnsiTheme="majorHAnsi" w:cs="Times New Roman"/>
          <w:sz w:val="24"/>
          <w:szCs w:val="24"/>
          <w:lang w:eastAsia="pl-PL"/>
        </w:rPr>
        <w:t>. J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est </w:t>
      </w:r>
      <w:r w:rsidR="003827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 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istotne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ponieważ w nowoczesnych gospodarkach coraz większ</w:t>
      </w:r>
      <w:r w:rsidR="00382782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część wzrostu PKB </w:t>
      </w:r>
      <w:r w:rsidR="003827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powstaje w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największ</w:t>
      </w:r>
      <w:r w:rsidR="00382782">
        <w:rPr>
          <w:rFonts w:asciiTheme="majorHAnsi" w:eastAsia="Times New Roman" w:hAnsiTheme="majorHAnsi" w:cs="Times New Roman"/>
          <w:sz w:val="24"/>
          <w:szCs w:val="24"/>
          <w:lang w:eastAsia="pl-PL"/>
        </w:rPr>
        <w:t>ych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aglomeracj</w:t>
      </w:r>
      <w:r w:rsidR="00382782">
        <w:rPr>
          <w:rFonts w:asciiTheme="majorHAnsi" w:eastAsia="Times New Roman" w:hAnsiTheme="majorHAnsi" w:cs="Times New Roman"/>
          <w:sz w:val="24"/>
          <w:szCs w:val="24"/>
          <w:lang w:eastAsia="pl-PL"/>
        </w:rPr>
        <w:t>ach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. D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uże różnice w produktywności wpływają nie tylko na wkład poszczególnych pracowników w tworzenie PKB</w:t>
      </w:r>
      <w:r w:rsidR="00AF328F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ale także na wysokość ich </w:t>
      </w:r>
      <w:r w:rsidR="00772672">
        <w:rPr>
          <w:rFonts w:asciiTheme="majorHAnsi" w:eastAsia="Times New Roman" w:hAnsiTheme="majorHAnsi" w:cs="Times New Roman"/>
          <w:sz w:val="24"/>
          <w:szCs w:val="24"/>
          <w:lang w:eastAsia="pl-PL"/>
        </w:rPr>
        <w:t>dochodów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25404B" w:rsidRPr="00FD026C" w:rsidRDefault="0025404B" w:rsidP="00FD026C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Utrzymywanie dużych różnic produktywności w gospodarce w połączeniu z niską aktywnością zawodową negatywnie odróżnia Polskę od </w:t>
      </w:r>
      <w:r w:rsidR="00763175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wielu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krajów Europy Zachodniej. Podczas gdy w Polsce połowę wartości dodanej wypracowuje bardzo ograniczona grupa</w:t>
      </w:r>
      <w:r w:rsidR="00763175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pracujących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stanowiąca tylko 26% populacji w wieku 20-64 lata, to w krajach takich jak Niemcy, Holandia, Szwecja czy Dania wskaźnik ten </w:t>
      </w:r>
      <w:r w:rsidR="00763175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kształtuje się </w:t>
      </w:r>
      <w:r w:rsidR="00AF328F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po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między 38% a 42%.</w:t>
      </w:r>
    </w:p>
    <w:p w:rsidR="00C839FE" w:rsidRDefault="0025404B" w:rsidP="00FD026C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Polityka gos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podarcza sprzyjająca wzrostowi aktywności zawodowej oraz przyspieszająca przepływ pracowników z mniej do bardziej wydajnych podmiotów zwiększ</w:t>
      </w:r>
      <w:r w:rsidR="004B2567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63175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ich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wkład w tworzenie PKB. </w:t>
      </w:r>
      <w:r w:rsidR="004B256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osób biernych zawodowo kluczowe jest ich wciągnięcie na rynek pracy. Początkowo może to wiązać się ze spadkiem tempa wzrostu produktywności pracy – osoby dotychczas bierne zawodowe wchodząc na rynek w większości będą mniej produktywne od osób już pracujących ze względu na brak doświadczenia i ich inne cechy, które dotychczas zniechęcały je do szukania pracy. Jednak samo rozpoczęcie pracy, nawet początkowo mało wydajne, </w:t>
      </w:r>
      <w:r w:rsidR="00C839FE"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4B256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prawi, że wkład tych osób w tworzenie PKB przestanie być zerowy. Jednocześnie wraz ze zdobywaniem przez nie doświadczenia zawodowego można oczekiwać, że ich wydajność także zacznie rosnąć. W przypadku osób już pracujących jest istotne, by coraz więcej z nich przechodziło do </w:t>
      </w:r>
      <w:r w:rsidR="00C839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bardziej </w:t>
      </w:r>
      <w:r w:rsidR="004B256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wydajnych podmiotów, co pozwoli na </w:t>
      </w:r>
      <w:r w:rsidR="00C839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zwiększanie </w:t>
      </w:r>
      <w:r w:rsidR="004B256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ich produktywności. </w:t>
      </w:r>
    </w:p>
    <w:p w:rsidR="00763175" w:rsidRPr="00FD026C" w:rsidRDefault="00763175" w:rsidP="00FD026C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Pozytywnymi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przykładami takich działań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podejmowanych przez obecny 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rząd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6652D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C17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są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zmiany dotyczące </w:t>
      </w:r>
      <w:r w:rsidR="00E50D45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zakładowych f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unduszy </w:t>
      </w:r>
      <w:r w:rsidR="00E50D45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świadczeń s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ocjalnych</w:t>
      </w:r>
      <w:r w:rsidR="00E50D45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ZFŚS</w:t>
      </w:r>
      <w:r w:rsidR="00E50D45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tworzenia regulaminów pracy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 walka z szarą strefą. Podniesienie liczby pracowników, </w:t>
      </w:r>
      <w:r w:rsidR="00BC17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przekroczeniu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której pracodawca </w:t>
      </w:r>
      <w:r w:rsidR="00BC17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musi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tworzyć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ZFŚS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regulamin pracy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odsuwa problem skokowego wzrostu kosztów </w:t>
      </w:r>
      <w:r w:rsidR="001C1EB5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wzrostu zatrudnienia</w:t>
      </w:r>
      <w:r w:rsidR="00FB78E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po</w:t>
      </w:r>
      <w:r w:rsidR="00FB78E4">
        <w:rPr>
          <w:rFonts w:asciiTheme="majorHAnsi" w:eastAsia="Times New Roman" w:hAnsiTheme="majorHAnsi" w:cs="Times New Roman"/>
          <w:sz w:val="24"/>
          <w:szCs w:val="24"/>
          <w:lang w:eastAsia="pl-PL"/>
        </w:rPr>
        <w:t>wyżej 20 osób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co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przeszłości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mogło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przyczyniać się do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hamowa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nia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rozw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oju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firm.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Z kolei d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ziałania nastawione na walkę z szarą strefą sprawiają, że na rynku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maleje liczba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podmiotów konkurujących unika</w:t>
      </w:r>
      <w:r w:rsidR="006C71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niem 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płacenia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podatków, co ogranicza możliwości rozwoju 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firm, które </w:t>
      </w:r>
      <w:r w:rsidR="00F23BB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uczciwie rozliczają się</w:t>
      </w:r>
      <w:r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23BB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należnych </w:t>
      </w:r>
      <w:r w:rsidR="00985F2B">
        <w:rPr>
          <w:rFonts w:asciiTheme="majorHAnsi" w:eastAsia="Times New Roman" w:hAnsiTheme="majorHAnsi" w:cs="Times New Roman"/>
          <w:sz w:val="24"/>
          <w:szCs w:val="24"/>
          <w:lang w:eastAsia="pl-PL"/>
        </w:rPr>
        <w:t>obciążeń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AF328F" w:rsidRPr="00FD026C" w:rsidRDefault="00F648C9" w:rsidP="00FD026C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 w:rsidR="0025404B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edystrybucj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25404B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wciąż mniejszej niż na Zachodzie warto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ści dodanej</w:t>
      </w:r>
      <w:r w:rsidR="00F37BE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wytwarzanej w większości przez </w:t>
      </w:r>
      <w:r w:rsidR="00D52E6A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wąsk</w:t>
      </w:r>
      <w:r w:rsidR="00D52E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ą </w:t>
      </w:r>
      <w:r w:rsidR="00D52E6A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grup</w:t>
      </w:r>
      <w:r w:rsidR="00D52E6A">
        <w:rPr>
          <w:rFonts w:asciiTheme="majorHAnsi" w:eastAsia="Times New Roman" w:hAnsiTheme="majorHAnsi" w:cs="Times New Roman"/>
          <w:sz w:val="24"/>
          <w:szCs w:val="24"/>
          <w:lang w:eastAsia="pl-PL"/>
        </w:rPr>
        <w:t>ę</w:t>
      </w:r>
      <w:r w:rsidR="00D52E6A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wydajnych pracowników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do mniej wydajnych podmiotów</w:t>
      </w:r>
      <w:r w:rsidR="0020497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osób niepracujących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spowolni</w:t>
      </w:r>
      <w:r w:rsidR="00AF328F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2624CC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rozwój Polski.</w:t>
      </w:r>
      <w:r w:rsidR="00C85C80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60E09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>Bieżące działania rządu można podzielić na te, które obniżają aktywność zawodową Polaków, osłabiają bodźce do rozwoju mało wydajnych podmiotów oraz zwiększają obciążenia wydajnych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przedsiębiorstw</w:t>
      </w:r>
      <w:r w:rsidR="00B60E09" w:rsidRPr="00FD026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Oddzielną kwestią są liczne preferencje dla rolnictwa. </w:t>
      </w:r>
    </w:p>
    <w:p w:rsidR="002B19A8" w:rsidRDefault="00AF328F" w:rsidP="002B19A8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Obniżenie wieku emerytalnego oraz program rodzina 500+, czyli d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wa sztandarowe projekty obecnego rządu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obniżają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aktywność zawodową Polaków.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Powrót do niskiego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wieku emerytalnego negatywnie wyróżnia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nas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tle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pozostałych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państw UE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Wiek emerytalny kobiet na poziomie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60 lat jest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Polsce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najniższy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całej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UE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Większość krajów unijnych ma wyższy wiek emerytalny kobiet i mężczyzn niż Polska lub jest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trakcie jego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sukcesywnego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pod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wyższania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>Obniżenie wieku emerytalnego odwróciło dotychczasowy trend rosnącego zatrudnienia osób starszych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; 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podczas gdy stopa zatrudnienia osób w wieku 20-59/64 lata między </w:t>
      </w:r>
      <w:r w:rsidR="00D7353A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kw. 2017 </w:t>
      </w:r>
      <w:r w:rsidR="00D735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 </w:t>
      </w:r>
      <w:r w:rsidR="00D7353A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kw. 2018 </w:t>
      </w:r>
      <w:r w:rsidR="00D7353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>wzrosła o 1</w:t>
      </w:r>
      <w:r w:rsidR="00D7353A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>3 pkt. proc., to wśród kobiet w wieku 60-64 lata i mężczyzn w wieku 65-69 lat spadła o 0</w:t>
      </w:r>
      <w:r w:rsidR="00171762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>6 pkt. proc. Sam spadek stopy zatrudnienia oznacza o 13 tys. mniej pracujących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>. U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względniając 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jednak </w:t>
      </w:r>
      <w:r w:rsidR="008116F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rosnącą stopę zatrudnienia </w:t>
      </w:r>
      <w:r w:rsidR="004666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innych sektorach i </w:t>
      </w:r>
      <w:r w:rsidR="004E5E7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obserwując </w:t>
      </w:r>
      <w:r w:rsidR="004666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dotychczasowy trend można mówić o negatywnym wpływie na zatrudnienie rzędu 45-60 tys. osób, który </w:t>
      </w:r>
      <w:r w:rsidR="007D294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dodatkowo </w:t>
      </w:r>
      <w:r w:rsidR="004666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będzie </w:t>
      </w:r>
      <w:r w:rsidR="007D294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zwiększał się </w:t>
      </w:r>
      <w:r w:rsidR="0046661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kolejnych latach.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Program rodzina 500+ ze sztywnym progiem dochodowym przy świadczeniu na pierwsze dziecko sprawia, że 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dochody z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legaln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prac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osób osiągających relatywnie niskie dochody (zwłaszcza kobiet) są </w:t>
      </w:r>
      <w:proofErr w:type="gramStart"/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obciążon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co</w:t>
      </w:r>
      <w:proofErr w:type="gramEnd"/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najmniej 85% podatkiem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>. T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skutecznie zniechęca 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ich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pozostawania </w:t>
      </w:r>
      <w:r w:rsid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lub wchodzenia 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>na legalny ryn</w:t>
      </w:r>
      <w:r w:rsid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>k pracy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 skutek tego programu 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tylko w </w:t>
      </w:r>
      <w:r w:rsidR="00F801DB">
        <w:rPr>
          <w:rFonts w:asciiTheme="majorHAnsi" w:eastAsia="Times New Roman" w:hAnsiTheme="majorHAnsi" w:cs="Times New Roman"/>
          <w:sz w:val="24"/>
          <w:szCs w:val="24"/>
          <w:lang w:eastAsia="pl-PL"/>
        </w:rPr>
        <w:t>pierwszym roku jego obowiązywania odeszło z rynku pracy</w:t>
      </w:r>
      <w:r w:rsidR="008F6E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ponad </w:t>
      </w:r>
      <w:r w:rsidR="00F80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90 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tys. kobiet</w:t>
      </w:r>
      <w:r w:rsidR="00F80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(Magda et al. 2018)</w:t>
      </w:r>
      <w:r w:rsidR="00B60E0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B19A8" w:rsidRDefault="002B19A8" w:rsidP="002B19A8">
      <w:pPr>
        <w:pStyle w:val="ListParagraph"/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190E" w:rsidRDefault="008F6E9C" w:rsidP="0033190E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Z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mniejszenie obciążeń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składkowych dla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samozatrudnionych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oraz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obciążeń podatkowych dla małych spółek,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połączeniu z rosnącymi obciążeniami dużych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podmiotów,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mogą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zniechęcać przedsiębiorców do rozwoju ich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firm.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prowadzając kolejne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(zresztą powielające się)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preferencje w ZUS dla samozatrudnionych (działalność nierejestrowana,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tzw.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mały ZUS)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rząd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utrzymuje na niezmienionym poziomie wysokie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pozapłacowe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koszty związane z zatrudnieniem (podatki i składki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ubezpieczenie społeczne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to ok. 40% kosztów</w:t>
      </w:r>
      <w:r w:rsidR="00F801DB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pracy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), premiując w ten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sposób samozatrudnienie. Jednocześnie większe przedsiębiorstwa muszą liczyć się z dużą niepewnością związaną z kolejnymi wprowadzanymi lub zapowiadanymi daninami (uchwalone, ale zaskarżone do T</w:t>
      </w:r>
      <w:r w:rsidR="007202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rybunału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720245">
        <w:rPr>
          <w:rFonts w:asciiTheme="majorHAnsi" w:eastAsia="Times New Roman" w:hAnsiTheme="majorHAnsi" w:cs="Times New Roman"/>
          <w:sz w:val="24"/>
          <w:szCs w:val="24"/>
          <w:lang w:eastAsia="pl-PL"/>
        </w:rPr>
        <w:t>onstytucyjnego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zniesienie limitu 30-krotności składek ZUS, zapowiadane </w:t>
      </w:r>
      <w:r w:rsid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wprowadzenie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PPK, wprowadzona danina solidarnościowa, zmiany w zasadzie rozliczeń CIT</w:t>
      </w:r>
      <w:proofErr w:type="gramStart"/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). Dodatkowo</w:t>
      </w:r>
      <w:proofErr w:type="gramEnd"/>
      <w:r w:rsid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część regulacji 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jest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tworzona</w:t>
      </w:r>
      <w:r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</w:t>
      </w:r>
      <w:r w:rsidR="00F801DB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celu relatywnej poprawy sytuacji mniejszych podmiotów, choć skutek nie zawsze jest zgodny z oczekiwaniami ustawodawcy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</w:t>
      </w:r>
      <w:r w:rsidR="007202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np. </w:t>
      </w:r>
      <w:r w:rsidR="002D65BE" w:rsidRPr="002B19A8">
        <w:rPr>
          <w:rFonts w:asciiTheme="majorHAnsi" w:eastAsia="Times New Roman" w:hAnsiTheme="majorHAnsi" w:cs="Times New Roman"/>
          <w:sz w:val="24"/>
          <w:szCs w:val="24"/>
          <w:lang w:eastAsia="pl-PL"/>
        </w:rPr>
        <w:t>zakaz tworzenia sieci aptek, zakaz handlu w niedzielę).</w:t>
      </w:r>
    </w:p>
    <w:p w:rsidR="0033190E" w:rsidRPr="0033190E" w:rsidRDefault="0033190E" w:rsidP="0033190E">
      <w:pPr>
        <w:pStyle w:val="ListParagrap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D5AFE" w:rsidRDefault="008F6E9C" w:rsidP="00FD5AFE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U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trzym</w:t>
      </w:r>
      <w:r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ywane są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85C80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liczne preferencje zniechęcające </w:t>
      </w:r>
      <w:r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osoby pracujące w niskowydajnym rolnictwie do podejmowania pracy w sektorach pozarolniczych, które przeciętnie wyróżniają się </w:t>
      </w:r>
      <w:r w:rsidR="003F5D68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relatywnie wyższą produktywnością</w:t>
      </w:r>
      <w:r w:rsidR="00C85C80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Pracownik odchodzący z rolnictwa traci dostęp do licznych preferencji (symboliczny KRUS, zwolnienie z PIT) i musi ponosić pełen </w:t>
      </w:r>
      <w:r w:rsidR="003F5D68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koszt </w:t>
      </w:r>
      <w:r w:rsidR="00C85C80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wysokiego opodatkowania </w:t>
      </w:r>
      <w:r w:rsidR="003F5D68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dochodów z </w:t>
      </w:r>
      <w:r w:rsidR="00C85C80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pracy (ZUS, PIT).  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Nowym, dodatkowym</w:t>
      </w:r>
      <w:r w:rsidR="00C85C80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utrudni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eniem hamującym</w:t>
      </w:r>
      <w:r w:rsidR="00C85C80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przepływ</w:t>
      </w:r>
      <w:r w:rsidR="007202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pracowników</w:t>
      </w:r>
      <w:r w:rsidR="00C85C80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rolnictwa do innych sektorów gospodarki 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są </w:t>
      </w:r>
      <w:r w:rsidR="003F5D68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także 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wprowadzone przez </w:t>
      </w:r>
      <w:r w:rsidR="003F5D68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obecny 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rząd utrudnienia w </w:t>
      </w:r>
      <w:r w:rsidR="003F5D68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obrocie 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ziemi</w:t>
      </w:r>
      <w:r w:rsidR="003F5D68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ą</w:t>
      </w:r>
      <w:r w:rsidR="00B60E09" w:rsidRPr="0033190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2D65BE" w:rsidRPr="00FD5AFE" w:rsidRDefault="00680B20" w:rsidP="00FD5AFE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D5A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Wzywamy rząd do skoncentrowania się </w:t>
      </w:r>
      <w:r w:rsidR="0026652D" w:rsidRPr="00FD5AFE">
        <w:rPr>
          <w:rFonts w:asciiTheme="majorHAnsi" w:eastAsia="Times New Roman" w:hAnsiTheme="majorHAnsi" w:cs="Times New Roman"/>
          <w:sz w:val="24"/>
          <w:szCs w:val="24"/>
          <w:lang w:eastAsia="pl-PL"/>
        </w:rPr>
        <w:t>zwiększaniu dostępności wysoko wydajnych miejsc pracy dla szerszej grupy pracowników i osób obecnie biernych zawodowo. Polityka skoncentrowana na</w:t>
      </w:r>
      <w:r w:rsidR="00816B07" w:rsidRPr="00FD5A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subsydiowaniu i uprzywilejowaniu mało wydajnych podmiotów sprawia, że racjonalną decyzją ich pracowników jest pozostawanie tam, pomimo ograniczonych perspektyw rozwojowych.  Rząd</w:t>
      </w:r>
      <w:r w:rsidR="00720245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816B07" w:rsidRPr="00FD5A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zamiast koncentrować się na subsydiowaniu osób obecnie pracujących w mało wydajnych podmiotach lub biernych zawodowo powinien przede wszystkim dążyć do zwiększenia dostępności wysoko wydajnych miejsc pracy dla nich.  Wymaga to stworzenia sprzyjających warunków do wzrostu dla najwydajniejszych przedsiębiorstw i dużych ośrodków miejskich, czemu sprzyjać będą stabilne regulacje oraz odejście od polityki uprzywilejowania całych sektorów (jak rolnictwo)</w:t>
      </w:r>
      <w:r w:rsidR="00720245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816B07" w:rsidRPr="00FD5AF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czy grup (jak samozatrudnieni czy mikroprzedsiębiorstwa). </w:t>
      </w:r>
    </w:p>
    <w:p w:rsidR="007352AB" w:rsidRDefault="007352AB">
      <w:pPr>
        <w:spacing w:after="160" w:line="259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 w:type="page"/>
      </w:r>
    </w:p>
    <w:p w:rsidR="00830F0F" w:rsidRPr="00830F0F" w:rsidRDefault="00720245" w:rsidP="00115338">
      <w:pPr>
        <w:spacing w:before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Ź</w:t>
      </w:r>
      <w:r w:rsidR="00F5292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ródła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:rsidR="00125980" w:rsidRPr="00816B07" w:rsidRDefault="00F801DB" w:rsidP="00816B07">
      <w:pPr>
        <w:spacing w:before="120" w:after="120" w:line="240" w:lineRule="auto"/>
        <w:jc w:val="both"/>
        <w:rPr>
          <w:sz w:val="20"/>
          <w:lang w:val="en-US"/>
        </w:rPr>
      </w:pPr>
      <w:r w:rsidRPr="00816B07">
        <w:rPr>
          <w:sz w:val="20"/>
        </w:rPr>
        <w:t>Magda, I., Kiełczewska, A., Brandt, N</w:t>
      </w:r>
      <w:proofErr w:type="gramStart"/>
      <w:r w:rsidRPr="00816B07">
        <w:rPr>
          <w:sz w:val="20"/>
        </w:rPr>
        <w:t xml:space="preserve">. (2018). </w:t>
      </w:r>
      <w:r w:rsidRPr="00816B07">
        <w:rPr>
          <w:sz w:val="20"/>
          <w:lang w:val="en-US"/>
        </w:rPr>
        <w:t>The</w:t>
      </w:r>
      <w:proofErr w:type="gramEnd"/>
      <w:r w:rsidRPr="00816B07">
        <w:rPr>
          <w:sz w:val="20"/>
          <w:lang w:val="en-US"/>
        </w:rPr>
        <w:t xml:space="preserve"> “Family 500+” child allowance and female </w:t>
      </w:r>
      <w:proofErr w:type="spellStart"/>
      <w:r w:rsidRPr="00816B07">
        <w:rPr>
          <w:sz w:val="20"/>
          <w:lang w:val="en-US"/>
        </w:rPr>
        <w:t>labour</w:t>
      </w:r>
      <w:proofErr w:type="spellEnd"/>
      <w:r w:rsidRPr="00816B07">
        <w:rPr>
          <w:sz w:val="20"/>
          <w:lang w:val="en-US"/>
        </w:rPr>
        <w:t xml:space="preserve"> supply in Poland. IBS Working Paper 01/2018. (</w:t>
      </w:r>
      <w:hyperlink r:id="rId8" w:history="1">
        <w:r w:rsidRPr="00816B07">
          <w:rPr>
            <w:rStyle w:val="Hyperlink"/>
            <w:sz w:val="20"/>
            <w:lang w:val="en-US"/>
          </w:rPr>
          <w:t>http://ibs.org.pl//app/uploads/2018/03/IBS_Working_Paper_01_2018.pdf</w:t>
        </w:r>
      </w:hyperlink>
      <w:r w:rsidRPr="00816B07">
        <w:rPr>
          <w:sz w:val="20"/>
          <w:lang w:val="en-US"/>
        </w:rPr>
        <w:t>)</w:t>
      </w:r>
    </w:p>
    <w:p w:rsidR="00F801DB" w:rsidRPr="00816B07" w:rsidRDefault="00F801DB" w:rsidP="00816B07">
      <w:pPr>
        <w:spacing w:before="120" w:after="120" w:line="240" w:lineRule="auto"/>
        <w:jc w:val="both"/>
        <w:rPr>
          <w:sz w:val="20"/>
        </w:rPr>
      </w:pPr>
      <w:r w:rsidRPr="00816B07">
        <w:rPr>
          <w:sz w:val="20"/>
        </w:rPr>
        <w:t>Łaszek, A., Trzeciakowski, R</w:t>
      </w:r>
      <w:proofErr w:type="gramStart"/>
      <w:r w:rsidRPr="00816B07">
        <w:rPr>
          <w:sz w:val="20"/>
        </w:rPr>
        <w:t>. (2018).</w:t>
      </w:r>
      <w:r w:rsidR="00720245">
        <w:rPr>
          <w:sz w:val="20"/>
        </w:rPr>
        <w:t xml:space="preserve"> </w:t>
      </w:r>
      <w:r w:rsidRPr="00816B07">
        <w:rPr>
          <w:sz w:val="20"/>
        </w:rPr>
        <w:t>Tylko</w:t>
      </w:r>
      <w:proofErr w:type="gramEnd"/>
      <w:r w:rsidRPr="00816B07">
        <w:rPr>
          <w:sz w:val="20"/>
        </w:rPr>
        <w:t xml:space="preserve"> 5,6 mln osób wytwarza połowę polskiego PKB. Analiza 8/2018.  https</w:t>
      </w:r>
      <w:proofErr w:type="gramStart"/>
      <w:r w:rsidRPr="00816B07">
        <w:rPr>
          <w:sz w:val="20"/>
        </w:rPr>
        <w:t>://for</w:t>
      </w:r>
      <w:proofErr w:type="gramEnd"/>
      <w:r w:rsidRPr="00816B07">
        <w:rPr>
          <w:sz w:val="20"/>
        </w:rPr>
        <w:t>.</w:t>
      </w:r>
      <w:proofErr w:type="gramStart"/>
      <w:r w:rsidRPr="00816B07">
        <w:rPr>
          <w:sz w:val="20"/>
        </w:rPr>
        <w:t>org</w:t>
      </w:r>
      <w:proofErr w:type="gramEnd"/>
      <w:r w:rsidRPr="00816B07">
        <w:rPr>
          <w:sz w:val="20"/>
        </w:rPr>
        <w:t>.pl/pl/a/6105,analiza-8/2018-tylko-5-6-mln-osob-wytwarza-polowe-polskiego-pkb</w:t>
      </w:r>
    </w:p>
    <w:p w:rsidR="00816B07" w:rsidRDefault="00816B07" w:rsidP="00AB50CA">
      <w:pPr>
        <w:spacing w:before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25980" w:rsidRPr="00F801DB" w:rsidRDefault="00125980" w:rsidP="00AB50CA">
      <w:pPr>
        <w:spacing w:before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0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Kontakt do autor</w:t>
      </w:r>
      <w:r w:rsidR="0075789F" w:rsidRPr="00F80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ów</w:t>
      </w:r>
      <w:r w:rsidRPr="00F80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:rsidR="00252D35" w:rsidRDefault="00085567" w:rsidP="00AB50CA">
      <w:pPr>
        <w:spacing w:before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01DB">
        <w:rPr>
          <w:rFonts w:asciiTheme="majorHAnsi" w:eastAsia="Times New Roman" w:hAnsiTheme="majorHAnsi" w:cs="Times New Roman"/>
          <w:sz w:val="24"/>
          <w:szCs w:val="24"/>
          <w:lang w:eastAsia="pl-PL"/>
        </w:rPr>
        <w:t>Aleksander Łaszek</w:t>
      </w:r>
      <w:r w:rsidR="00252D35" w:rsidRPr="00F80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</w:t>
      </w:r>
      <w:hyperlink r:id="rId9" w:history="1">
        <w:r w:rsidRPr="00F801DB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l-PL"/>
          </w:rPr>
          <w:t>aleksander.laszek@for.org.pl</w:t>
        </w:r>
      </w:hyperlink>
      <w:r w:rsidR="00306525" w:rsidRPr="0076317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30652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tel. </w:t>
      </w:r>
      <w:r w:rsidRPr="00085567">
        <w:rPr>
          <w:rFonts w:asciiTheme="majorHAnsi" w:eastAsia="Times New Roman" w:hAnsiTheme="majorHAnsi" w:cs="Times New Roman"/>
          <w:sz w:val="24"/>
          <w:szCs w:val="24"/>
          <w:lang w:eastAsia="pl-PL"/>
        </w:rPr>
        <w:t>+48 695 286 386</w:t>
      </w:r>
    </w:p>
    <w:p w:rsidR="00125980" w:rsidRPr="00125980" w:rsidRDefault="00252D35" w:rsidP="00AB50CA">
      <w:pPr>
        <w:spacing w:before="1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Wiktor Wojciechowski: </w:t>
      </w:r>
      <w:hyperlink r:id="rId10" w:history="1">
        <w:r w:rsidR="00085567" w:rsidRPr="00FC55F6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pl-PL"/>
          </w:rPr>
          <w:t>wiktor.wojciechowski@tep.org.pl</w:t>
        </w:r>
      </w:hyperlink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tel. </w:t>
      </w:r>
      <w:r w:rsidR="0013189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+ 48 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667 753 873</w:t>
      </w:r>
    </w:p>
    <w:sectPr w:rsidR="00125980" w:rsidRPr="00125980" w:rsidSect="00965725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12" w:rsidRDefault="00ED1912" w:rsidP="00965725">
      <w:pPr>
        <w:spacing w:after="0" w:line="240" w:lineRule="auto"/>
      </w:pPr>
      <w:r>
        <w:separator/>
      </w:r>
    </w:p>
  </w:endnote>
  <w:endnote w:type="continuationSeparator" w:id="0">
    <w:p w:rsidR="00ED1912" w:rsidRDefault="00ED1912" w:rsidP="0096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89" w:rsidRDefault="00045289" w:rsidP="001410E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EA7F23"/>
        <w:sz w:val="14"/>
        <w:szCs w:val="14"/>
      </w:rPr>
    </w:pPr>
    <w:r>
      <w:rPr>
        <w:rFonts w:ascii="Arial" w:hAnsi="Arial" w:cs="Arial"/>
        <w:b/>
        <w:bCs/>
        <w:color w:val="007CC4"/>
        <w:sz w:val="14"/>
        <w:szCs w:val="14"/>
      </w:rPr>
      <w:t xml:space="preserve">Towarzystwo Ekonomistów Polskich </w:t>
    </w:r>
    <w:r>
      <w:rPr>
        <w:rFonts w:ascii="Verdana" w:hAnsi="Verdana" w:cs="Verdana"/>
        <w:color w:val="007CC4"/>
        <w:sz w:val="14"/>
        <w:szCs w:val="14"/>
      </w:rPr>
      <w:t xml:space="preserve">| </w:t>
    </w:r>
    <w:r>
      <w:rPr>
        <w:rFonts w:ascii="Arial" w:hAnsi="Arial" w:cs="Arial"/>
        <w:b/>
        <w:bCs/>
        <w:color w:val="EA7F23"/>
        <w:sz w:val="14"/>
        <w:szCs w:val="14"/>
      </w:rPr>
      <w:t>01-031 Warszawa, Al. Jana Pawła II 61/212</w:t>
    </w:r>
  </w:p>
  <w:p w:rsidR="00045289" w:rsidRDefault="00045289" w:rsidP="001410E4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color w:val="72706F"/>
        <w:sz w:val="14"/>
        <w:szCs w:val="14"/>
      </w:rPr>
    </w:pPr>
    <w:proofErr w:type="gramStart"/>
    <w:r>
      <w:rPr>
        <w:rFonts w:ascii="Verdana" w:hAnsi="Verdana" w:cs="Verdana"/>
        <w:color w:val="72706F"/>
        <w:sz w:val="14"/>
        <w:szCs w:val="14"/>
      </w:rPr>
      <w:t>mBank</w:t>
    </w:r>
    <w:proofErr w:type="gramEnd"/>
    <w:r>
      <w:rPr>
        <w:rFonts w:ascii="Verdana" w:hAnsi="Verdana" w:cs="Verdana"/>
        <w:color w:val="72706F"/>
        <w:sz w:val="14"/>
        <w:szCs w:val="14"/>
      </w:rPr>
      <w:t xml:space="preserve"> S.A. Rachunek Nr: 27 1140 1010 0000 5150 0500 1001</w:t>
    </w:r>
  </w:p>
  <w:p w:rsidR="00045289" w:rsidRPr="00197DC3" w:rsidRDefault="00045289" w:rsidP="001410E4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color w:val="72706F"/>
        <w:sz w:val="14"/>
        <w:szCs w:val="14"/>
        <w:lang w:val="en-US"/>
      </w:rPr>
    </w:pPr>
    <w:r w:rsidRPr="00197DC3">
      <w:rPr>
        <w:rFonts w:ascii="Verdana" w:hAnsi="Verdana" w:cs="Verdana"/>
        <w:color w:val="007CC4"/>
        <w:sz w:val="14"/>
        <w:szCs w:val="14"/>
        <w:lang w:val="en-US"/>
      </w:rPr>
      <w:t>KRS</w:t>
    </w:r>
    <w:r w:rsidRPr="00197DC3">
      <w:rPr>
        <w:rFonts w:ascii="Verdana" w:hAnsi="Verdana" w:cs="Verdana"/>
        <w:color w:val="72706F"/>
        <w:sz w:val="14"/>
        <w:szCs w:val="14"/>
        <w:lang w:val="en-US"/>
      </w:rPr>
      <w:t xml:space="preserve">: 0000203796; </w:t>
    </w:r>
    <w:r w:rsidRPr="00197DC3">
      <w:rPr>
        <w:rFonts w:ascii="Verdana" w:hAnsi="Verdana" w:cs="Verdana"/>
        <w:color w:val="007CC4"/>
        <w:sz w:val="14"/>
        <w:szCs w:val="14"/>
        <w:lang w:val="en-US"/>
      </w:rPr>
      <w:t xml:space="preserve">NIP: </w:t>
    </w:r>
    <w:r w:rsidRPr="00197DC3">
      <w:rPr>
        <w:rFonts w:ascii="Verdana" w:hAnsi="Verdana" w:cs="Verdana"/>
        <w:color w:val="72706F"/>
        <w:sz w:val="14"/>
        <w:szCs w:val="14"/>
        <w:lang w:val="en-US"/>
      </w:rPr>
      <w:t xml:space="preserve">525 21 33 281; </w:t>
    </w:r>
    <w:r w:rsidRPr="00197DC3">
      <w:rPr>
        <w:rFonts w:ascii="Verdana" w:hAnsi="Verdana" w:cs="Verdana"/>
        <w:color w:val="007CC4"/>
        <w:sz w:val="14"/>
        <w:szCs w:val="14"/>
        <w:lang w:val="en-US"/>
      </w:rPr>
      <w:t>REGON</w:t>
    </w:r>
    <w:r w:rsidRPr="00197DC3">
      <w:rPr>
        <w:rFonts w:ascii="Verdana" w:hAnsi="Verdana" w:cs="Verdana"/>
        <w:color w:val="72706F"/>
        <w:sz w:val="14"/>
        <w:szCs w:val="14"/>
        <w:lang w:val="en-US"/>
      </w:rPr>
      <w:t>: 011197735</w:t>
    </w:r>
  </w:p>
  <w:p w:rsidR="00045289" w:rsidRPr="00197DC3" w:rsidRDefault="00045289" w:rsidP="001410E4">
    <w:pPr>
      <w:pStyle w:val="Footer"/>
      <w:jc w:val="center"/>
      <w:rPr>
        <w:lang w:val="en-US"/>
      </w:rPr>
    </w:pPr>
    <w:r w:rsidRPr="00197DC3">
      <w:rPr>
        <w:rFonts w:ascii="Verdana" w:hAnsi="Verdana" w:cs="Verdana"/>
        <w:color w:val="007CC4"/>
        <w:sz w:val="14"/>
        <w:szCs w:val="14"/>
        <w:lang w:val="en-US"/>
      </w:rPr>
      <w:t>MAIL:</w:t>
    </w:r>
    <w:r>
      <w:rPr>
        <w:rFonts w:ascii="Verdana" w:hAnsi="Verdana" w:cs="Verdana"/>
        <w:color w:val="007CC4"/>
        <w:sz w:val="14"/>
        <w:szCs w:val="14"/>
        <w:lang w:val="en-US"/>
      </w:rPr>
      <w:t xml:space="preserve"> </w:t>
    </w:r>
    <w:hyperlink r:id="rId1" w:history="1"/>
    <w:r w:rsidR="00125980" w:rsidRPr="00125980">
      <w:rPr>
        <w:lang w:val="en-GB"/>
      </w:rPr>
      <w:t>s</w:t>
    </w:r>
    <w:r w:rsidR="00125980">
      <w:rPr>
        <w:lang w:val="en-GB"/>
      </w:rPr>
      <w:t>ekretariat@tep.org.pl</w:t>
    </w:r>
    <w:r w:rsidRPr="00197DC3">
      <w:rPr>
        <w:rFonts w:ascii="Verdana" w:hAnsi="Verdana" w:cs="Arial"/>
        <w:b/>
        <w:bCs/>
        <w:color w:val="72706F"/>
        <w:sz w:val="14"/>
        <w:szCs w:val="14"/>
        <w:lang w:val="en-US"/>
      </w:rPr>
      <w:t xml:space="preserve">; </w:t>
    </w:r>
    <w:r>
      <w:rPr>
        <w:rFonts w:ascii="Verdana" w:hAnsi="Verdana" w:cs="Verdana"/>
        <w:color w:val="007CC4"/>
        <w:sz w:val="14"/>
        <w:szCs w:val="14"/>
        <w:lang w:val="en-US"/>
      </w:rPr>
      <w:t>TEL</w:t>
    </w:r>
    <w:proofErr w:type="gramStart"/>
    <w:r w:rsidRPr="00197DC3">
      <w:rPr>
        <w:rFonts w:ascii="Verdana" w:hAnsi="Verdana" w:cs="Verdana"/>
        <w:color w:val="007CC4"/>
        <w:sz w:val="14"/>
        <w:szCs w:val="14"/>
        <w:lang w:val="en-US"/>
      </w:rPr>
      <w:t>.</w:t>
    </w:r>
    <w:r w:rsidRPr="00197DC3">
      <w:rPr>
        <w:rFonts w:ascii="Verdana" w:hAnsi="Verdana"/>
        <w:color w:val="767171" w:themeColor="background2" w:themeShade="80"/>
        <w:sz w:val="14"/>
        <w:szCs w:val="14"/>
        <w:lang w:val="en-US"/>
      </w:rPr>
      <w:t>+</w:t>
    </w:r>
    <w:proofErr w:type="gramEnd"/>
    <w:r w:rsidRPr="00197DC3">
      <w:rPr>
        <w:rFonts w:ascii="Verdana" w:hAnsi="Verdana"/>
        <w:color w:val="767171" w:themeColor="background2" w:themeShade="80"/>
        <w:sz w:val="14"/>
        <w:szCs w:val="14"/>
        <w:lang w:val="en-US"/>
      </w:rPr>
      <w:t>48 735 974 782</w:t>
    </w:r>
    <w:r w:rsidRPr="00197DC3">
      <w:rPr>
        <w:lang w:val="en-US"/>
      </w:rPr>
      <w:t xml:space="preserve"> </w:t>
    </w:r>
  </w:p>
  <w:p w:rsidR="00045289" w:rsidRPr="00197DC3" w:rsidRDefault="00045289" w:rsidP="001410E4">
    <w:pPr>
      <w:pStyle w:val="Footer"/>
      <w:jc w:val="center"/>
      <w:rPr>
        <w:lang w:val="de-DE"/>
      </w:rPr>
    </w:pPr>
    <w:r w:rsidRPr="00197DC3">
      <w:rPr>
        <w:rFonts w:ascii="Arial" w:hAnsi="Arial" w:cs="Arial"/>
        <w:b/>
        <w:bCs/>
        <w:color w:val="72706F"/>
        <w:sz w:val="14"/>
        <w:szCs w:val="14"/>
        <w:lang w:val="de-DE"/>
      </w:rPr>
      <w:t>www.tep.org.pl</w:t>
    </w:r>
  </w:p>
  <w:p w:rsidR="00045289" w:rsidRPr="009E0A13" w:rsidRDefault="00045289" w:rsidP="001410E4">
    <w:pPr>
      <w:pStyle w:val="Footer"/>
      <w:rPr>
        <w:lang w:val="en-GB"/>
      </w:rPr>
    </w:pPr>
  </w:p>
  <w:p w:rsidR="00045289" w:rsidRPr="009E0A13" w:rsidRDefault="00045289" w:rsidP="009C3443">
    <w:pPr>
      <w:spacing w:after="0"/>
      <w:jc w:val="center"/>
      <w:textAlignment w:val="center"/>
      <w:rPr>
        <w:rFonts w:asciiTheme="majorHAnsi" w:hAnsiTheme="majorHAnsi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12" w:rsidRDefault="00ED1912" w:rsidP="00965725">
      <w:pPr>
        <w:spacing w:after="0" w:line="240" w:lineRule="auto"/>
      </w:pPr>
      <w:r>
        <w:separator/>
      </w:r>
    </w:p>
  </w:footnote>
  <w:footnote w:type="continuationSeparator" w:id="0">
    <w:p w:rsidR="00ED1912" w:rsidRDefault="00ED1912" w:rsidP="0096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AF7"/>
    <w:multiLevelType w:val="hybridMultilevel"/>
    <w:tmpl w:val="504C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5675"/>
    <w:multiLevelType w:val="hybridMultilevel"/>
    <w:tmpl w:val="FFDA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254"/>
    <w:multiLevelType w:val="hybridMultilevel"/>
    <w:tmpl w:val="A166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616"/>
    <w:multiLevelType w:val="hybridMultilevel"/>
    <w:tmpl w:val="6FC2D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0CA6"/>
    <w:multiLevelType w:val="hybridMultilevel"/>
    <w:tmpl w:val="E9F2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74A0">
      <w:numFmt w:val="bullet"/>
      <w:lvlText w:val="•"/>
      <w:lvlJc w:val="left"/>
      <w:pPr>
        <w:ind w:left="1800" w:hanging="720"/>
      </w:pPr>
      <w:rPr>
        <w:rFonts w:ascii="Calibri Light" w:eastAsia="Times New Roman" w:hAnsi="Calibri Light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00C4"/>
    <w:multiLevelType w:val="hybridMultilevel"/>
    <w:tmpl w:val="CAA23D34"/>
    <w:lvl w:ilvl="0" w:tplc="6AF4A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CB6"/>
    <w:multiLevelType w:val="hybridMultilevel"/>
    <w:tmpl w:val="CABAD460"/>
    <w:lvl w:ilvl="0" w:tplc="1B76C6EC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71313380"/>
    <w:multiLevelType w:val="hybridMultilevel"/>
    <w:tmpl w:val="0F78E790"/>
    <w:lvl w:ilvl="0" w:tplc="320E8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C5DBB"/>
    <w:multiLevelType w:val="hybridMultilevel"/>
    <w:tmpl w:val="928A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7"/>
    <w:rsid w:val="00000A01"/>
    <w:rsid w:val="00032823"/>
    <w:rsid w:val="00045289"/>
    <w:rsid w:val="00085567"/>
    <w:rsid w:val="000A1E1C"/>
    <w:rsid w:val="000A5BDE"/>
    <w:rsid w:val="000D3DA3"/>
    <w:rsid w:val="000F50EF"/>
    <w:rsid w:val="00115299"/>
    <w:rsid w:val="00115338"/>
    <w:rsid w:val="00120923"/>
    <w:rsid w:val="00125980"/>
    <w:rsid w:val="001310B6"/>
    <w:rsid w:val="0013189E"/>
    <w:rsid w:val="001410E4"/>
    <w:rsid w:val="001615A6"/>
    <w:rsid w:val="001648BC"/>
    <w:rsid w:val="00171762"/>
    <w:rsid w:val="00172E5F"/>
    <w:rsid w:val="001835A4"/>
    <w:rsid w:val="00187E19"/>
    <w:rsid w:val="001A4039"/>
    <w:rsid w:val="001A4EF7"/>
    <w:rsid w:val="001A73A3"/>
    <w:rsid w:val="001B23BF"/>
    <w:rsid w:val="001B6F36"/>
    <w:rsid w:val="001C1EB5"/>
    <w:rsid w:val="002014C8"/>
    <w:rsid w:val="0020497F"/>
    <w:rsid w:val="002160F4"/>
    <w:rsid w:val="00217D89"/>
    <w:rsid w:val="00236722"/>
    <w:rsid w:val="00252D35"/>
    <w:rsid w:val="0025404B"/>
    <w:rsid w:val="002624CC"/>
    <w:rsid w:val="00264145"/>
    <w:rsid w:val="0026652D"/>
    <w:rsid w:val="00283314"/>
    <w:rsid w:val="00286EDF"/>
    <w:rsid w:val="002B19A8"/>
    <w:rsid w:val="002C2C07"/>
    <w:rsid w:val="002D65BE"/>
    <w:rsid w:val="002E52C3"/>
    <w:rsid w:val="00306525"/>
    <w:rsid w:val="0033190E"/>
    <w:rsid w:val="00364E9B"/>
    <w:rsid w:val="0037280D"/>
    <w:rsid w:val="00382782"/>
    <w:rsid w:val="00396A48"/>
    <w:rsid w:val="003B5E57"/>
    <w:rsid w:val="003F5D68"/>
    <w:rsid w:val="00411B17"/>
    <w:rsid w:val="0042724E"/>
    <w:rsid w:val="00463ACF"/>
    <w:rsid w:val="00464EDF"/>
    <w:rsid w:val="00466618"/>
    <w:rsid w:val="00472083"/>
    <w:rsid w:val="00473A62"/>
    <w:rsid w:val="0048404D"/>
    <w:rsid w:val="004B2567"/>
    <w:rsid w:val="004B4FF6"/>
    <w:rsid w:val="004C10F0"/>
    <w:rsid w:val="004C39FD"/>
    <w:rsid w:val="004E5E78"/>
    <w:rsid w:val="00572EBA"/>
    <w:rsid w:val="005812D5"/>
    <w:rsid w:val="00584DC4"/>
    <w:rsid w:val="00652E5A"/>
    <w:rsid w:val="00680B20"/>
    <w:rsid w:val="0068577D"/>
    <w:rsid w:val="006A37DE"/>
    <w:rsid w:val="006B1961"/>
    <w:rsid w:val="006C3CBE"/>
    <w:rsid w:val="006C7189"/>
    <w:rsid w:val="006F58D7"/>
    <w:rsid w:val="00704C72"/>
    <w:rsid w:val="00720245"/>
    <w:rsid w:val="007352AB"/>
    <w:rsid w:val="00750533"/>
    <w:rsid w:val="00756F94"/>
    <w:rsid w:val="0075789F"/>
    <w:rsid w:val="00763175"/>
    <w:rsid w:val="00772672"/>
    <w:rsid w:val="00793D99"/>
    <w:rsid w:val="00797CDA"/>
    <w:rsid w:val="007B5F4F"/>
    <w:rsid w:val="007C5034"/>
    <w:rsid w:val="007D2941"/>
    <w:rsid w:val="007D3789"/>
    <w:rsid w:val="007F6AEA"/>
    <w:rsid w:val="008116F1"/>
    <w:rsid w:val="00816B07"/>
    <w:rsid w:val="00830F0F"/>
    <w:rsid w:val="00837680"/>
    <w:rsid w:val="0085666E"/>
    <w:rsid w:val="00890F18"/>
    <w:rsid w:val="008968ED"/>
    <w:rsid w:val="00897AE1"/>
    <w:rsid w:val="008B2C7C"/>
    <w:rsid w:val="008E040D"/>
    <w:rsid w:val="008F6E9C"/>
    <w:rsid w:val="009226AB"/>
    <w:rsid w:val="00957853"/>
    <w:rsid w:val="00965725"/>
    <w:rsid w:val="00985F2B"/>
    <w:rsid w:val="009A127D"/>
    <w:rsid w:val="009A1E07"/>
    <w:rsid w:val="009B005F"/>
    <w:rsid w:val="009C3443"/>
    <w:rsid w:val="009E0A13"/>
    <w:rsid w:val="009F5494"/>
    <w:rsid w:val="00A30E65"/>
    <w:rsid w:val="00A709CB"/>
    <w:rsid w:val="00A9704C"/>
    <w:rsid w:val="00AB091D"/>
    <w:rsid w:val="00AB43C4"/>
    <w:rsid w:val="00AB50CA"/>
    <w:rsid w:val="00AE68B5"/>
    <w:rsid w:val="00AE7B25"/>
    <w:rsid w:val="00AF328F"/>
    <w:rsid w:val="00AF6F5E"/>
    <w:rsid w:val="00B06F37"/>
    <w:rsid w:val="00B13C7F"/>
    <w:rsid w:val="00B15B7B"/>
    <w:rsid w:val="00B33EB2"/>
    <w:rsid w:val="00B60E09"/>
    <w:rsid w:val="00B63B7D"/>
    <w:rsid w:val="00B71785"/>
    <w:rsid w:val="00B800E1"/>
    <w:rsid w:val="00BC175C"/>
    <w:rsid w:val="00BD6FA4"/>
    <w:rsid w:val="00C0047D"/>
    <w:rsid w:val="00C00530"/>
    <w:rsid w:val="00C554BB"/>
    <w:rsid w:val="00C766B7"/>
    <w:rsid w:val="00C839FE"/>
    <w:rsid w:val="00C85C80"/>
    <w:rsid w:val="00CD4B4B"/>
    <w:rsid w:val="00D01421"/>
    <w:rsid w:val="00D52E6A"/>
    <w:rsid w:val="00D56DFD"/>
    <w:rsid w:val="00D7353A"/>
    <w:rsid w:val="00D82528"/>
    <w:rsid w:val="00DA057B"/>
    <w:rsid w:val="00DB5BC6"/>
    <w:rsid w:val="00DC192A"/>
    <w:rsid w:val="00DD3790"/>
    <w:rsid w:val="00DF47A3"/>
    <w:rsid w:val="00E2649F"/>
    <w:rsid w:val="00E36735"/>
    <w:rsid w:val="00E50D45"/>
    <w:rsid w:val="00E5287E"/>
    <w:rsid w:val="00E660A2"/>
    <w:rsid w:val="00E828AA"/>
    <w:rsid w:val="00EC2481"/>
    <w:rsid w:val="00ED1912"/>
    <w:rsid w:val="00EE6E97"/>
    <w:rsid w:val="00EF0C11"/>
    <w:rsid w:val="00EF4866"/>
    <w:rsid w:val="00F07892"/>
    <w:rsid w:val="00F23BBC"/>
    <w:rsid w:val="00F37BEC"/>
    <w:rsid w:val="00F52924"/>
    <w:rsid w:val="00F57B80"/>
    <w:rsid w:val="00F62758"/>
    <w:rsid w:val="00F648C9"/>
    <w:rsid w:val="00F801DB"/>
    <w:rsid w:val="00F90029"/>
    <w:rsid w:val="00F9308A"/>
    <w:rsid w:val="00FB78E4"/>
    <w:rsid w:val="00FD026C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18B66"/>
  <w15:docId w15:val="{5D3ABC9D-74A0-46E7-B032-F60B9C6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D7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A2"/>
    <w:rPr>
      <w:rFonts w:ascii="Segoe UI" w:hAnsi="Segoe UI" w:cs="Segoe UI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96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25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96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25"/>
    <w:rPr>
      <w:lang w:val="pl-PL"/>
    </w:rPr>
  </w:style>
  <w:style w:type="character" w:styleId="Hyperlink">
    <w:name w:val="Hyperlink"/>
    <w:basedOn w:val="DefaultParagraphFont"/>
    <w:uiPriority w:val="99"/>
    <w:unhideWhenUsed/>
    <w:rsid w:val="009C34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0E4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E4"/>
    <w:rPr>
      <w:b/>
      <w:bCs/>
      <w:sz w:val="20"/>
      <w:szCs w:val="20"/>
      <w:lang w:val="pl-PL"/>
    </w:rPr>
  </w:style>
  <w:style w:type="paragraph" w:styleId="ListParagraph">
    <w:name w:val="List Paragraph"/>
    <w:basedOn w:val="Normal"/>
    <w:uiPriority w:val="34"/>
    <w:qFormat/>
    <w:rsid w:val="001410E4"/>
    <w:pPr>
      <w:ind w:left="720"/>
      <w:contextualSpacing/>
    </w:pPr>
  </w:style>
  <w:style w:type="paragraph" w:styleId="Revision">
    <w:name w:val="Revision"/>
    <w:hidden/>
    <w:uiPriority w:val="99"/>
    <w:semiHidden/>
    <w:rsid w:val="008E040D"/>
    <w:pPr>
      <w:spacing w:after="0" w:line="240" w:lineRule="auto"/>
    </w:pPr>
    <w:rPr>
      <w:lang w:val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252D3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338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338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15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s.org.pl//app/uploads/2018/03/IBS_Working_Paper_01_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iktor.wojciechowski@te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er.laszek@fo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Wojciechowski</dc:creator>
  <cp:lastModifiedBy>Rudzki, Rafal (PL - Warsaw)</cp:lastModifiedBy>
  <cp:revision>4</cp:revision>
  <cp:lastPrinted>2018-08-17T10:00:00Z</cp:lastPrinted>
  <dcterms:created xsi:type="dcterms:W3CDTF">2018-08-17T10:30:00Z</dcterms:created>
  <dcterms:modified xsi:type="dcterms:W3CDTF">2018-08-29T10:29:00Z</dcterms:modified>
</cp:coreProperties>
</file>