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0" w:rsidRDefault="009E20F4" w:rsidP="00BD06F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BD06FF">
        <w:rPr>
          <w:rFonts w:ascii="Times New Roman" w:hAnsi="Times New Roman" w:cs="Times New Roman"/>
          <w:b/>
          <w:sz w:val="44"/>
          <w:szCs w:val="44"/>
          <w:lang w:val="pl-PL"/>
        </w:rPr>
        <w:t>Mateusz Urban</w:t>
      </w:r>
    </w:p>
    <w:p w:rsidR="00BD06FF" w:rsidRDefault="00BD06FF" w:rsidP="00BD06F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</w:p>
    <w:p w:rsidR="00BD06FF" w:rsidRDefault="00BD06FF" w:rsidP="00BD06F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</w:p>
    <w:p w:rsidR="00BD06FF" w:rsidRDefault="00BD06FF" w:rsidP="00BD06F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</w:p>
    <w:p w:rsidR="00BD06FF" w:rsidRDefault="00BD06FF" w:rsidP="00BD06F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</w:p>
    <w:p w:rsidR="00BD06FF" w:rsidRPr="00BD06FF" w:rsidRDefault="00BD06FF" w:rsidP="00BD06F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</w:p>
    <w:p w:rsidR="009E20F4" w:rsidRPr="00BD06FF" w:rsidRDefault="00BD06FF" w:rsidP="00BD06F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proofErr w:type="spellStart"/>
      <w:r w:rsidRPr="00BD06FF">
        <w:rPr>
          <w:rFonts w:ascii="Times New Roman" w:hAnsi="Times New Roman" w:cs="Times New Roman"/>
          <w:b/>
          <w:sz w:val="44"/>
          <w:szCs w:val="44"/>
          <w:lang w:val="pl-PL"/>
        </w:rPr>
        <w:t>Duke</w:t>
      </w:r>
      <w:proofErr w:type="spellEnd"/>
      <w:r w:rsidRPr="00BD06FF">
        <w:rPr>
          <w:rFonts w:ascii="Times New Roman" w:hAnsi="Times New Roman" w:cs="Times New Roman"/>
          <w:b/>
          <w:sz w:val="44"/>
          <w:szCs w:val="44"/>
          <w:lang w:val="pl-PL"/>
        </w:rPr>
        <w:t xml:space="preserve"> </w:t>
      </w:r>
      <w:proofErr w:type="spellStart"/>
      <w:r w:rsidRPr="00BD06FF">
        <w:rPr>
          <w:rFonts w:ascii="Times New Roman" w:hAnsi="Times New Roman" w:cs="Times New Roman"/>
          <w:b/>
          <w:sz w:val="44"/>
          <w:szCs w:val="44"/>
          <w:lang w:val="pl-PL"/>
        </w:rPr>
        <w:t>Univeristy</w:t>
      </w:r>
      <w:proofErr w:type="spellEnd"/>
    </w:p>
    <w:p w:rsidR="00BD06FF" w:rsidRPr="00BD06FF" w:rsidRDefault="00BD06FF" w:rsidP="00BD06F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BD06FF">
        <w:rPr>
          <w:rFonts w:ascii="Times New Roman" w:hAnsi="Times New Roman" w:cs="Times New Roman"/>
          <w:b/>
          <w:sz w:val="44"/>
          <w:szCs w:val="44"/>
          <w:lang w:val="pl-PL"/>
        </w:rPr>
        <w:t xml:space="preserve">MA </w:t>
      </w:r>
      <w:proofErr w:type="spellStart"/>
      <w:r w:rsidRPr="00BD06FF">
        <w:rPr>
          <w:rFonts w:ascii="Times New Roman" w:hAnsi="Times New Roman" w:cs="Times New Roman"/>
          <w:b/>
          <w:sz w:val="44"/>
          <w:szCs w:val="44"/>
          <w:lang w:val="pl-PL"/>
        </w:rPr>
        <w:t>Analytical</w:t>
      </w:r>
      <w:proofErr w:type="spellEnd"/>
      <w:r w:rsidRPr="00BD06FF">
        <w:rPr>
          <w:rFonts w:ascii="Times New Roman" w:hAnsi="Times New Roman" w:cs="Times New Roman"/>
          <w:b/>
          <w:sz w:val="44"/>
          <w:szCs w:val="44"/>
          <w:lang w:val="pl-PL"/>
        </w:rPr>
        <w:t xml:space="preserve"> </w:t>
      </w:r>
      <w:proofErr w:type="spellStart"/>
      <w:r w:rsidRPr="00BD06FF">
        <w:rPr>
          <w:rFonts w:ascii="Times New Roman" w:hAnsi="Times New Roman" w:cs="Times New Roman"/>
          <w:b/>
          <w:sz w:val="44"/>
          <w:szCs w:val="44"/>
          <w:lang w:val="pl-PL"/>
        </w:rPr>
        <w:t>Political</w:t>
      </w:r>
      <w:proofErr w:type="spellEnd"/>
      <w:r w:rsidRPr="00BD06FF">
        <w:rPr>
          <w:rFonts w:ascii="Times New Roman" w:hAnsi="Times New Roman" w:cs="Times New Roman"/>
          <w:b/>
          <w:sz w:val="44"/>
          <w:szCs w:val="44"/>
          <w:lang w:val="pl-PL"/>
        </w:rPr>
        <w:t xml:space="preserve"> </w:t>
      </w:r>
      <w:proofErr w:type="spellStart"/>
      <w:r w:rsidRPr="00BD06FF">
        <w:rPr>
          <w:rFonts w:ascii="Times New Roman" w:hAnsi="Times New Roman" w:cs="Times New Roman"/>
          <w:b/>
          <w:sz w:val="44"/>
          <w:szCs w:val="44"/>
          <w:lang w:val="pl-PL"/>
        </w:rPr>
        <w:t>Economy</w:t>
      </w:r>
      <w:proofErr w:type="spellEnd"/>
    </w:p>
    <w:p w:rsidR="00BD06FF" w:rsidRPr="00BD06FF" w:rsidRDefault="00BD06FF" w:rsidP="00BD06FF">
      <w:pPr>
        <w:jc w:val="center"/>
        <w:rPr>
          <w:rFonts w:ascii="Times New Roman" w:hAnsi="Times New Roman" w:cs="Times New Roman"/>
          <w:b/>
          <w:lang w:val="pl-PL"/>
        </w:rPr>
      </w:pPr>
      <w:r w:rsidRPr="00BD06FF">
        <w:rPr>
          <w:rFonts w:ascii="Times New Roman" w:hAnsi="Times New Roman" w:cs="Times New Roman"/>
          <w:b/>
          <w:sz w:val="44"/>
          <w:szCs w:val="44"/>
          <w:lang w:val="pl-PL"/>
        </w:rPr>
        <w:t>Rok pierwszy</w:t>
      </w:r>
    </w:p>
    <w:p w:rsidR="00B86D90" w:rsidRPr="00BD06FF" w:rsidRDefault="00B86D90" w:rsidP="00E0711F">
      <w:pPr>
        <w:rPr>
          <w:rFonts w:ascii="Times New Roman" w:hAnsi="Times New Roman" w:cs="Times New Roman"/>
          <w:b/>
          <w:lang w:val="pl-PL"/>
        </w:rPr>
      </w:pPr>
    </w:p>
    <w:p w:rsidR="00B86D90" w:rsidRDefault="00B86D90" w:rsidP="00E0711F">
      <w:pPr>
        <w:rPr>
          <w:lang w:val="pl-PL"/>
        </w:rPr>
      </w:pPr>
    </w:p>
    <w:p w:rsidR="00B86D90" w:rsidRDefault="00B86D90" w:rsidP="00E0711F">
      <w:pPr>
        <w:rPr>
          <w:lang w:val="pl-PL"/>
        </w:rPr>
      </w:pPr>
    </w:p>
    <w:p w:rsidR="00B86D90" w:rsidRPr="00D95733" w:rsidRDefault="00B86D90" w:rsidP="00E0711F">
      <w:pPr>
        <w:rPr>
          <w:lang w:val="pl-PL"/>
        </w:rPr>
      </w:pPr>
    </w:p>
    <w:p w:rsidR="00E0711F" w:rsidRPr="00D95733" w:rsidRDefault="00E0711F" w:rsidP="00E0711F">
      <w:pPr>
        <w:rPr>
          <w:lang w:val="pl-PL"/>
        </w:rPr>
      </w:pPr>
    </w:p>
    <w:p w:rsidR="00E0711F" w:rsidRPr="00D95733" w:rsidRDefault="00E0711F" w:rsidP="00E0711F">
      <w:pPr>
        <w:rPr>
          <w:lang w:val="pl-PL"/>
        </w:rPr>
      </w:pPr>
    </w:p>
    <w:p w:rsidR="00E0711F" w:rsidRPr="00D95733" w:rsidRDefault="00E0711F" w:rsidP="00E0711F">
      <w:pPr>
        <w:rPr>
          <w:lang w:val="pl-PL"/>
        </w:rPr>
      </w:pPr>
    </w:p>
    <w:p w:rsidR="00E0711F" w:rsidRPr="00D95733" w:rsidRDefault="00E0711F" w:rsidP="00E0711F">
      <w:pPr>
        <w:rPr>
          <w:lang w:val="pl-PL"/>
        </w:rPr>
      </w:pPr>
    </w:p>
    <w:p w:rsidR="00E0711F" w:rsidRPr="00D95733" w:rsidRDefault="00E0711F" w:rsidP="00E0711F">
      <w:pPr>
        <w:rPr>
          <w:lang w:val="pl-PL"/>
        </w:rPr>
      </w:pPr>
    </w:p>
    <w:p w:rsidR="00E0711F" w:rsidRPr="00D95733" w:rsidRDefault="00E0711F" w:rsidP="00E0711F">
      <w:pPr>
        <w:rPr>
          <w:lang w:val="pl-PL"/>
        </w:rPr>
      </w:pPr>
    </w:p>
    <w:p w:rsidR="00E0711F" w:rsidRPr="00D95733" w:rsidRDefault="00E0711F" w:rsidP="00E0711F">
      <w:pPr>
        <w:rPr>
          <w:lang w:val="pl-PL"/>
        </w:rPr>
      </w:pPr>
    </w:p>
    <w:p w:rsidR="00E0711F" w:rsidRPr="00D95733" w:rsidRDefault="00E0711F" w:rsidP="00E0711F">
      <w:pPr>
        <w:rPr>
          <w:lang w:val="pl-PL"/>
        </w:rPr>
      </w:pPr>
    </w:p>
    <w:p w:rsidR="00E0711F" w:rsidRPr="00D95733" w:rsidRDefault="00E0711F" w:rsidP="00E0711F">
      <w:pPr>
        <w:rPr>
          <w:lang w:val="pl-PL"/>
        </w:rPr>
      </w:pPr>
    </w:p>
    <w:p w:rsidR="00E0711F" w:rsidRPr="00D95733" w:rsidRDefault="00E0711F" w:rsidP="00E0711F">
      <w:pPr>
        <w:rPr>
          <w:lang w:val="pl-PL"/>
        </w:rPr>
      </w:pPr>
    </w:p>
    <w:p w:rsidR="00E0711F" w:rsidRPr="00D95733" w:rsidRDefault="00E0711F" w:rsidP="00E0711F">
      <w:pPr>
        <w:rPr>
          <w:lang w:val="pl-PL"/>
        </w:rPr>
      </w:pPr>
    </w:p>
    <w:p w:rsidR="00E0711F" w:rsidRPr="00D95733" w:rsidRDefault="00E0711F" w:rsidP="00E0711F">
      <w:pPr>
        <w:rPr>
          <w:lang w:val="pl-PL"/>
        </w:rPr>
      </w:pPr>
    </w:p>
    <w:p w:rsidR="00E0711F" w:rsidRDefault="00E0711F" w:rsidP="00E0711F">
      <w:pPr>
        <w:rPr>
          <w:lang w:val="pl-PL"/>
        </w:rPr>
      </w:pPr>
    </w:p>
    <w:p w:rsidR="00CD3BBC" w:rsidRDefault="00CD3BBC" w:rsidP="00E0711F">
      <w:pPr>
        <w:rPr>
          <w:lang w:val="pl-PL"/>
        </w:rPr>
        <w:sectPr w:rsidR="00CD3BB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711F" w:rsidRPr="007C0C30" w:rsidRDefault="00E0711F" w:rsidP="00BD06F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C0C30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W</w:t>
      </w:r>
      <w:r w:rsidR="0059287B" w:rsidRPr="007C0C30">
        <w:rPr>
          <w:rFonts w:ascii="Times New Roman" w:hAnsi="Times New Roman" w:cs="Times New Roman"/>
          <w:b/>
          <w:sz w:val="24"/>
          <w:szCs w:val="24"/>
          <w:lang w:val="pl-PL"/>
        </w:rPr>
        <w:t>prowadzenie</w:t>
      </w:r>
    </w:p>
    <w:p w:rsidR="00E0711F" w:rsidRPr="00BD06FF" w:rsidRDefault="00E0711F" w:rsidP="00BD06F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C3FAC" w:rsidRPr="00BD06FF" w:rsidRDefault="00711C56" w:rsidP="00BD0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Na przestrzeni ostatnich 25 lat Polska dokonała </w:t>
      </w:r>
      <w:r w:rsidR="00420320" w:rsidRPr="00BD06FF">
        <w:rPr>
          <w:rFonts w:ascii="Times New Roman" w:hAnsi="Times New Roman" w:cs="Times New Roman"/>
          <w:sz w:val="24"/>
          <w:szCs w:val="24"/>
          <w:lang w:val="pl-PL"/>
        </w:rPr>
        <w:t>największego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postępu ekonomicznego i społecznego</w:t>
      </w:r>
      <w:r w:rsidR="00420320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w ostatnich bez mała 200 latach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. Po przejściu jednej z </w:t>
      </w:r>
      <w:r w:rsidR="00420320" w:rsidRPr="00BD06FF">
        <w:rPr>
          <w:rFonts w:ascii="Times New Roman" w:hAnsi="Times New Roman" w:cs="Times New Roman"/>
          <w:sz w:val="24"/>
          <w:szCs w:val="24"/>
          <w:lang w:val="pl-PL"/>
        </w:rPr>
        <w:t>najbardziej radykalnych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0320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i wszechstronnych 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transformacji ustrojowych </w:t>
      </w:r>
      <w:r w:rsidR="00420320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spośród byłych krajów komunistycznych </w:t>
      </w:r>
      <w:r w:rsidR="00C55FF1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(tzw. „terapii szokowej”) </w:t>
      </w:r>
      <w:r w:rsidR="00420320" w:rsidRPr="00BD06FF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86D90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Balcerowicz 1995, </w:t>
      </w:r>
      <w:proofErr w:type="spellStart"/>
      <w:r w:rsidR="00420320" w:rsidRPr="00BD06FF">
        <w:rPr>
          <w:rFonts w:ascii="Times New Roman" w:hAnsi="Times New Roman" w:cs="Times New Roman"/>
          <w:sz w:val="24"/>
          <w:szCs w:val="24"/>
          <w:lang w:val="pl-PL"/>
        </w:rPr>
        <w:t>Aslund</w:t>
      </w:r>
      <w:proofErr w:type="spellEnd"/>
      <w:r w:rsidR="00420320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2010), 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Polsce już w trzecim roku po rozpoczęciu przebudowy gospodarki udało się </w:t>
      </w:r>
      <w:r w:rsidR="00420320" w:rsidRPr="00BD06FF">
        <w:rPr>
          <w:rFonts w:ascii="Times New Roman" w:hAnsi="Times New Roman" w:cs="Times New Roman"/>
          <w:sz w:val="24"/>
          <w:szCs w:val="24"/>
          <w:lang w:val="pl-PL"/>
        </w:rPr>
        <w:t>wejść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na ścieżkę dynamicznego </w:t>
      </w:r>
      <w:r w:rsidR="00C55FF1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i nieprzerwanego 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>rozwoju gospodarczego, po której kroczy do dziś</w:t>
      </w:r>
      <w:r w:rsidR="00420320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3163F3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="00420320" w:rsidRPr="00BD06FF">
        <w:rPr>
          <w:rFonts w:ascii="Times New Roman" w:hAnsi="Times New Roman" w:cs="Times New Roman"/>
          <w:i/>
          <w:sz w:val="24"/>
          <w:szCs w:val="24"/>
          <w:lang w:val="pl-PL"/>
        </w:rPr>
        <w:t>ykres 1</w:t>
      </w:r>
      <w:r w:rsidR="00420320" w:rsidRPr="00BD06FF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C55FF1" w:rsidRPr="00BD06FF" w:rsidRDefault="00C55FF1" w:rsidP="00BD06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55FF1" w:rsidRPr="00BD06FF" w:rsidRDefault="00BD06FF" w:rsidP="00BD06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CEE4A6">
            <wp:simplePos x="0" y="0"/>
            <wp:positionH relativeFrom="margin">
              <wp:align>center</wp:align>
            </wp:positionH>
            <wp:positionV relativeFrom="paragraph">
              <wp:posOffset>258247</wp:posOffset>
            </wp:positionV>
            <wp:extent cx="5243514" cy="3905251"/>
            <wp:effectExtent l="0" t="0" r="14605" b="0"/>
            <wp:wrapTight wrapText="bothSides">
              <wp:wrapPolygon edited="0">
                <wp:start x="0" y="0"/>
                <wp:lineTo x="0" y="21495"/>
                <wp:lineTo x="21582" y="21495"/>
                <wp:lineTo x="21582" y="0"/>
                <wp:lineTo x="0" y="0"/>
              </wp:wrapPolygon>
            </wp:wrapTight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C5560925-F946-40E6-B429-6DF86C62F5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55FF1" w:rsidRPr="00BD06FF">
        <w:rPr>
          <w:rFonts w:ascii="Times New Roman" w:hAnsi="Times New Roman" w:cs="Times New Roman"/>
          <w:i/>
          <w:sz w:val="24"/>
          <w:szCs w:val="24"/>
          <w:lang w:val="pl-PL"/>
        </w:rPr>
        <w:t xml:space="preserve">Wykres 1. </w:t>
      </w:r>
      <w:r w:rsidR="00BD6D78" w:rsidRPr="00BD06FF">
        <w:rPr>
          <w:rFonts w:ascii="Times New Roman" w:hAnsi="Times New Roman" w:cs="Times New Roman"/>
          <w:i/>
          <w:sz w:val="24"/>
          <w:szCs w:val="24"/>
          <w:lang w:val="pl-PL"/>
        </w:rPr>
        <w:t>Dynamika realnego</w:t>
      </w:r>
      <w:r w:rsidR="00C55FF1" w:rsidRPr="00BD06F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PKB </w:t>
      </w:r>
      <w:r w:rsidR="00BD6D78" w:rsidRPr="00BD06FF">
        <w:rPr>
          <w:rFonts w:ascii="Times New Roman" w:hAnsi="Times New Roman" w:cs="Times New Roman"/>
          <w:i/>
          <w:sz w:val="24"/>
          <w:szCs w:val="24"/>
          <w:lang w:val="pl-PL"/>
        </w:rPr>
        <w:t>i PKB per capita w Polsce w latach 1996-2016.</w:t>
      </w:r>
      <w:r w:rsidR="00C55FF1" w:rsidRPr="00BD06F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</w:t>
      </w:r>
    </w:p>
    <w:p w:rsidR="00420320" w:rsidRPr="00BD06FF" w:rsidRDefault="00C55FF1" w:rsidP="00BD06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D06FF">
        <w:rPr>
          <w:rFonts w:ascii="Times New Roman" w:hAnsi="Times New Roman" w:cs="Times New Roman"/>
          <w:i/>
          <w:sz w:val="24"/>
          <w:szCs w:val="24"/>
          <w:lang w:val="pl-PL"/>
        </w:rPr>
        <w:t>źródło: GUS</w:t>
      </w:r>
      <w:r w:rsidR="00CA2A95">
        <w:rPr>
          <w:rFonts w:ascii="Times New Roman" w:hAnsi="Times New Roman" w:cs="Times New Roman"/>
          <w:i/>
          <w:sz w:val="24"/>
          <w:szCs w:val="24"/>
          <w:lang w:val="pl-PL"/>
        </w:rPr>
        <w:t>, World Bank</w:t>
      </w:r>
    </w:p>
    <w:p w:rsidR="00420320" w:rsidRDefault="00420320" w:rsidP="00BD06F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0549F" w:rsidRDefault="0050549F" w:rsidP="00BD06F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0549F" w:rsidRPr="00657C15" w:rsidRDefault="0050549F" w:rsidP="00BD06F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20320" w:rsidRPr="00BD06FF" w:rsidRDefault="00C55FF1" w:rsidP="00BD0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06F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Niemal równocześnie </w:t>
      </w:r>
      <w:r w:rsidR="00D95733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z wolnorynkowymi reformami gospodarczymi na arenie krajowej, na arenie międzynarodowej Polska rozpoczęła proces tzw. “Powrotu do Europy”, by użyć sformułowania Tadeusza Mazowieckiego (1990). </w:t>
      </w:r>
    </w:p>
    <w:p w:rsidR="00E00627" w:rsidRPr="00BD06FF" w:rsidRDefault="00AC11AB" w:rsidP="00BD0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C11A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5743E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latach 90.</w:t>
      </w:r>
      <w:r w:rsidR="00BF254E">
        <w:rPr>
          <w:rFonts w:ascii="Times New Roman" w:hAnsi="Times New Roman" w:cs="Times New Roman"/>
          <w:sz w:val="24"/>
          <w:szCs w:val="24"/>
          <w:lang w:val="pl-PL"/>
        </w:rPr>
        <w:t xml:space="preserve"> dążenie do integracji z</w:t>
      </w:r>
      <w:r w:rsidR="00075E25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5743E" w:rsidRPr="00BD06FF">
        <w:rPr>
          <w:rFonts w:ascii="Times New Roman" w:hAnsi="Times New Roman" w:cs="Times New Roman"/>
          <w:sz w:val="24"/>
          <w:szCs w:val="24"/>
          <w:lang w:val="pl-PL"/>
        </w:rPr>
        <w:t>Unią Europejską</w:t>
      </w:r>
      <w:r w:rsidR="00075E25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było niemal jednogłośnie uważane za polską </w:t>
      </w:r>
      <w:r w:rsidR="00075E25" w:rsidRPr="00BD06FF">
        <w:rPr>
          <w:rFonts w:ascii="Times New Roman" w:hAnsi="Times New Roman" w:cs="Times New Roman"/>
          <w:i/>
          <w:sz w:val="24"/>
          <w:szCs w:val="24"/>
          <w:lang w:val="pl-PL"/>
        </w:rPr>
        <w:t>raison’d’etat</w:t>
      </w:r>
      <w:r w:rsidR="00075E25" w:rsidRPr="00BD06FF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co wynikało</w:t>
      </w:r>
      <w:r w:rsidR="00075E25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5743E" w:rsidRPr="00BD06FF">
        <w:rPr>
          <w:rFonts w:ascii="Times New Roman" w:hAnsi="Times New Roman" w:cs="Times New Roman"/>
          <w:sz w:val="24"/>
          <w:szCs w:val="24"/>
          <w:lang w:val="pl-PL"/>
        </w:rPr>
        <w:t>tak ze względów gospodarczych</w:t>
      </w:r>
      <w:r w:rsidR="00BF254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5743E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jak i politycznych</w:t>
      </w:r>
      <w:r w:rsidR="00B86D90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(Kołodziejczyk 2016)</w:t>
      </w:r>
      <w:r w:rsidR="00C5743E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. Dziś,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już w zupełnie innej sytuacji geopolitycznej i </w:t>
      </w:r>
      <w:r w:rsidR="00C5743E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ponad trzynaście lat po wstąpieniu do Wspólnoty, </w:t>
      </w:r>
      <w:r w:rsidR="00E00627" w:rsidRPr="00BD06FF">
        <w:rPr>
          <w:rFonts w:ascii="Times New Roman" w:hAnsi="Times New Roman" w:cs="Times New Roman"/>
          <w:sz w:val="24"/>
          <w:szCs w:val="24"/>
          <w:lang w:val="pl-PL"/>
        </w:rPr>
        <w:t>warto postawić pytanie o</w:t>
      </w:r>
      <w:r w:rsidR="00C45CC1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0627" w:rsidRPr="00BD06FF">
        <w:rPr>
          <w:rFonts w:ascii="Times New Roman" w:hAnsi="Times New Roman" w:cs="Times New Roman"/>
          <w:sz w:val="24"/>
          <w:szCs w:val="24"/>
          <w:lang w:val="pl-PL"/>
        </w:rPr>
        <w:t>wpływ integracji Polski z Unią Europejską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(UE) na polską gospodarkę</w:t>
      </w:r>
      <w:r w:rsidR="00E00627" w:rsidRPr="00BD06F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55FF1" w:rsidRPr="00BD06FF" w:rsidRDefault="003163F3" w:rsidP="00BD0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Kwestia ta jest coraz bardziej aktualna</w:t>
      </w:r>
      <w:r w:rsidR="00E00627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5743E" w:rsidRPr="00BD06FF">
        <w:rPr>
          <w:rFonts w:ascii="Times New Roman" w:hAnsi="Times New Roman" w:cs="Times New Roman"/>
          <w:sz w:val="24"/>
          <w:szCs w:val="24"/>
          <w:lang w:val="pl-PL"/>
        </w:rPr>
        <w:t>zwłaszcza w obliczu wciąż nielicznych, lecz jednak przybierających na sile opinii (polityków</w:t>
      </w:r>
      <w:r w:rsidR="00E00627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i osób młodego pokolenia</w:t>
      </w:r>
      <w:r w:rsidR="00C5743E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) kontestujących </w:t>
      </w:r>
      <w:r w:rsidR="00E00627" w:rsidRPr="00BD06FF">
        <w:rPr>
          <w:rFonts w:ascii="Times New Roman" w:hAnsi="Times New Roman" w:cs="Times New Roman"/>
          <w:sz w:val="24"/>
          <w:szCs w:val="24"/>
          <w:lang w:val="pl-PL"/>
        </w:rPr>
        <w:t>wartość uczestnictwa Polski w strukturach UE i wskazujących na negatywny bilans integracji Polski ze Wspólnotą</w:t>
      </w:r>
      <w:r w:rsidR="00E27625" w:rsidRPr="00BD06FF"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id="1"/>
      </w:r>
      <w:r w:rsidR="00E00627" w:rsidRPr="00BD06F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45CC1" w:rsidRPr="00BD06FF" w:rsidRDefault="00C45CC1" w:rsidP="00BD0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Wpływ integracji Polski z UE na polską gospodarkę jest złożony i wielowątkowy. Konsekwentnie, w celu zwiększenia przejrzystości analizy postanowiłem podzielić analizowane przeze mnie </w:t>
      </w:r>
      <w:r w:rsidR="00AC11AB">
        <w:rPr>
          <w:rFonts w:ascii="Times New Roman" w:hAnsi="Times New Roman" w:cs="Times New Roman"/>
          <w:sz w:val="24"/>
          <w:szCs w:val="24"/>
          <w:lang w:val="pl-PL"/>
        </w:rPr>
        <w:t>kanały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wpływu UE na gospodarkę Polski na dwie główne kategorie: </w:t>
      </w:r>
      <w:r w:rsidR="00036631">
        <w:rPr>
          <w:rFonts w:ascii="Times New Roman" w:hAnsi="Times New Roman" w:cs="Times New Roman"/>
          <w:sz w:val="24"/>
          <w:szCs w:val="24"/>
          <w:lang w:val="pl-PL"/>
        </w:rPr>
        <w:t>ekonomiczne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3163F3">
        <w:rPr>
          <w:rFonts w:ascii="Times New Roman" w:hAnsi="Times New Roman" w:cs="Times New Roman"/>
          <w:sz w:val="24"/>
          <w:szCs w:val="24"/>
          <w:lang w:val="pl-PL"/>
        </w:rPr>
        <w:t>polityczno-instytucjonalne</w:t>
      </w:r>
      <w:r w:rsidRPr="00BD06FF"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id="2"/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91724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BD3D2F" w:rsidRPr="00BD06FF" w:rsidRDefault="00BD3D2F" w:rsidP="00BD0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06FF">
        <w:rPr>
          <w:rFonts w:ascii="Times New Roman" w:hAnsi="Times New Roman" w:cs="Times New Roman"/>
          <w:sz w:val="24"/>
          <w:szCs w:val="24"/>
          <w:lang w:val="pl-PL"/>
        </w:rPr>
        <w:t>W pierwszej części pracy przeanalizuję wpływ</w:t>
      </w:r>
      <w:r w:rsidR="00B86D90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szeroko pojętych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czynników ekonomicznych na Polską gospodarkę. </w:t>
      </w:r>
      <w:r w:rsidR="00B86D90" w:rsidRPr="00BD06FF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to procesy ściśle związane ze swobodą przepływu towarów, usług, osób i kapitału; przede wszystkim dynamiczny rozwój eksportu i bezpośrednich inwestycji zagranicznych. Co więcej</w:t>
      </w:r>
      <w:r w:rsidR="00B86D90" w:rsidRPr="00BD06FF">
        <w:rPr>
          <w:rFonts w:ascii="Times New Roman" w:hAnsi="Times New Roman" w:cs="Times New Roman"/>
          <w:sz w:val="24"/>
          <w:szCs w:val="24"/>
          <w:lang w:val="pl-PL"/>
        </w:rPr>
        <w:t>, zbadam wpływ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fundusz</w:t>
      </w:r>
      <w:r w:rsidR="00B86D90" w:rsidRPr="00BD06FF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6D90" w:rsidRPr="00BD06FF">
        <w:rPr>
          <w:rFonts w:ascii="Times New Roman" w:hAnsi="Times New Roman" w:cs="Times New Roman"/>
          <w:sz w:val="24"/>
          <w:szCs w:val="24"/>
          <w:lang w:val="pl-PL"/>
        </w:rPr>
        <w:t>unijnych i innych form transferów pieniężnych (</w:t>
      </w:r>
      <w:r w:rsidR="00B86D90" w:rsidRPr="00BD06FF">
        <w:rPr>
          <w:rFonts w:ascii="Times New Roman" w:hAnsi="Times New Roman" w:cs="Times New Roman"/>
          <w:i/>
          <w:sz w:val="24"/>
          <w:szCs w:val="24"/>
          <w:lang w:val="pl-PL"/>
        </w:rPr>
        <w:t>vide</w:t>
      </w:r>
      <w:r w:rsidR="00B86D90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 dopłaty rolnicze) 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AC11AB">
        <w:rPr>
          <w:rFonts w:ascii="Times New Roman" w:hAnsi="Times New Roman" w:cs="Times New Roman"/>
          <w:sz w:val="24"/>
          <w:szCs w:val="24"/>
          <w:lang w:val="pl-PL"/>
        </w:rPr>
        <w:t xml:space="preserve">szeroko pojęty 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rozwój gospodarczy Polski. </w:t>
      </w:r>
    </w:p>
    <w:p w:rsidR="00E27625" w:rsidRDefault="00BD3D2F" w:rsidP="00E27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06FF">
        <w:rPr>
          <w:rFonts w:ascii="Times New Roman" w:hAnsi="Times New Roman" w:cs="Times New Roman"/>
          <w:sz w:val="24"/>
          <w:szCs w:val="24"/>
          <w:lang w:val="pl-PL"/>
        </w:rPr>
        <w:t>W drugiej części przyjrzę się wpły</w:t>
      </w:r>
      <w:r w:rsidR="00B86D90"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wowi czynników </w:t>
      </w:r>
      <w:r w:rsidR="003163F3">
        <w:rPr>
          <w:rFonts w:ascii="Times New Roman" w:hAnsi="Times New Roman" w:cs="Times New Roman"/>
          <w:sz w:val="24"/>
          <w:szCs w:val="24"/>
          <w:lang w:val="pl-PL"/>
        </w:rPr>
        <w:t xml:space="preserve">polityczno-instytucjonalnych. </w:t>
      </w:r>
      <w:r w:rsidRPr="00BD06FF">
        <w:rPr>
          <w:rFonts w:ascii="Times New Roman" w:hAnsi="Times New Roman" w:cs="Times New Roman"/>
          <w:sz w:val="24"/>
          <w:szCs w:val="24"/>
          <w:lang w:val="pl-PL"/>
        </w:rPr>
        <w:t xml:space="preserve">W tej kategorii </w:t>
      </w:r>
      <w:r w:rsidR="00E27625">
        <w:rPr>
          <w:rFonts w:ascii="Times New Roman" w:hAnsi="Times New Roman" w:cs="Times New Roman"/>
          <w:sz w:val="24"/>
          <w:szCs w:val="24"/>
          <w:lang w:val="pl-PL"/>
        </w:rPr>
        <w:t xml:space="preserve">znajdzie się przede wszystkim </w:t>
      </w:r>
      <w:r w:rsidR="003163F3">
        <w:rPr>
          <w:rFonts w:ascii="Times New Roman" w:hAnsi="Times New Roman" w:cs="Times New Roman"/>
          <w:sz w:val="24"/>
          <w:szCs w:val="24"/>
          <w:lang w:val="pl-PL"/>
        </w:rPr>
        <w:t>dostosowywani</w:t>
      </w:r>
      <w:r w:rsidR="00BF254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3163F3">
        <w:rPr>
          <w:rFonts w:ascii="Times New Roman" w:hAnsi="Times New Roman" w:cs="Times New Roman"/>
          <w:sz w:val="24"/>
          <w:szCs w:val="24"/>
          <w:lang w:val="pl-PL"/>
        </w:rPr>
        <w:t xml:space="preserve"> polskiego prawa do wymogów UE, </w:t>
      </w:r>
      <w:r w:rsidR="00E27625">
        <w:rPr>
          <w:rFonts w:ascii="Times New Roman" w:hAnsi="Times New Roman" w:cs="Times New Roman"/>
          <w:sz w:val="24"/>
          <w:szCs w:val="24"/>
          <w:lang w:val="pl-PL"/>
        </w:rPr>
        <w:t xml:space="preserve">zwiększenie znaczenia </w:t>
      </w:r>
      <w:r w:rsidR="00BF254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E27625">
        <w:rPr>
          <w:rFonts w:ascii="Times New Roman" w:hAnsi="Times New Roman" w:cs="Times New Roman"/>
          <w:sz w:val="24"/>
          <w:szCs w:val="24"/>
          <w:lang w:val="pl-PL"/>
        </w:rPr>
        <w:t xml:space="preserve">olski na arenie międzynarodowej </w:t>
      </w:r>
      <w:r w:rsidR="00BF254E">
        <w:rPr>
          <w:rFonts w:ascii="Times New Roman" w:hAnsi="Times New Roman" w:cs="Times New Roman"/>
          <w:sz w:val="24"/>
          <w:szCs w:val="24"/>
          <w:lang w:val="pl-PL"/>
        </w:rPr>
        <w:t>a także wpływ UE na konkurencję w Polsce.</w:t>
      </w:r>
    </w:p>
    <w:p w:rsidR="003163F3" w:rsidRDefault="003163F3" w:rsidP="00E27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254E" w:rsidRDefault="00BF254E" w:rsidP="00E27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D2C81" w:rsidRPr="00E27625" w:rsidRDefault="00B86D90" w:rsidP="005D2C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2762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Czynniki ekonomiczne</w:t>
      </w:r>
    </w:p>
    <w:p w:rsidR="00E27625" w:rsidRPr="00E27625" w:rsidRDefault="00E27625" w:rsidP="00E2762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20746F" w:rsidRDefault="003163F3" w:rsidP="00316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27625">
        <w:rPr>
          <w:rFonts w:ascii="Times New Roman" w:hAnsi="Times New Roman" w:cs="Times New Roman"/>
          <w:sz w:val="24"/>
          <w:szCs w:val="24"/>
          <w:lang w:val="pl-PL"/>
        </w:rPr>
        <w:t>W opinii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większości</w:t>
      </w:r>
      <w:r w:rsidRPr="00E27625">
        <w:rPr>
          <w:rFonts w:ascii="Times New Roman" w:hAnsi="Times New Roman" w:cs="Times New Roman"/>
          <w:sz w:val="24"/>
          <w:szCs w:val="24"/>
          <w:lang w:val="pl-PL"/>
        </w:rPr>
        <w:t xml:space="preserve"> ekonomistów integracja Polski z Unią Europejską miała pozytywny wpływ na rozwój gospodarczy kraju. Empiryczne badania przeprowadzone przez </w:t>
      </w:r>
      <w:proofErr w:type="spellStart"/>
      <w:r w:rsidRPr="00E27625">
        <w:rPr>
          <w:rFonts w:ascii="Times New Roman" w:hAnsi="Times New Roman" w:cs="Times New Roman"/>
          <w:sz w:val="24"/>
          <w:szCs w:val="24"/>
          <w:lang w:val="pl-PL"/>
        </w:rPr>
        <w:t>Cihak</w:t>
      </w:r>
      <w:proofErr w:type="spellEnd"/>
      <w:r w:rsidRPr="00E2762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Pr="00E2762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27625">
        <w:rPr>
          <w:rFonts w:ascii="Times New Roman" w:hAnsi="Times New Roman" w:cs="Times New Roman"/>
          <w:sz w:val="24"/>
          <w:szCs w:val="24"/>
          <w:lang w:val="pl-PL"/>
        </w:rPr>
        <w:t>Foneyne</w:t>
      </w:r>
      <w:proofErr w:type="spellEnd"/>
      <w:r w:rsidRPr="00E27625">
        <w:rPr>
          <w:rFonts w:ascii="Times New Roman" w:hAnsi="Times New Roman" w:cs="Times New Roman"/>
          <w:sz w:val="24"/>
          <w:szCs w:val="24"/>
          <w:lang w:val="pl-PL"/>
        </w:rPr>
        <w:t xml:space="preserve"> (2009) wykazały zwiększenie rocznej dynamiki PKB Polski w latach 2003</w:t>
      </w:r>
      <w:r>
        <w:rPr>
          <w:rFonts w:ascii="Times New Roman" w:hAnsi="Times New Roman" w:cs="Times New Roman"/>
          <w:sz w:val="24"/>
          <w:szCs w:val="24"/>
          <w:lang w:val="pl-PL"/>
        </w:rPr>
        <w:t>-2007 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1-2,5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spowodowane</w:t>
      </w:r>
      <w:r w:rsidRPr="00E27625">
        <w:rPr>
          <w:rFonts w:ascii="Times New Roman" w:hAnsi="Times New Roman" w:cs="Times New Roman"/>
          <w:sz w:val="24"/>
          <w:szCs w:val="24"/>
          <w:lang w:val="pl-PL"/>
        </w:rPr>
        <w:t xml:space="preserve"> przez proces integracji Polski z UE.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kolei </w:t>
      </w:r>
      <w:r w:rsidRPr="00E27625">
        <w:rPr>
          <w:rFonts w:ascii="Times New Roman" w:hAnsi="Times New Roman" w:cs="Times New Roman"/>
          <w:sz w:val="24"/>
          <w:szCs w:val="24"/>
          <w:lang w:val="pl-PL"/>
        </w:rPr>
        <w:t xml:space="preserve">Campos et. al. (2014) </w:t>
      </w:r>
      <w:r>
        <w:rPr>
          <w:rFonts w:ascii="Times New Roman" w:hAnsi="Times New Roman" w:cs="Times New Roman"/>
          <w:sz w:val="24"/>
          <w:szCs w:val="24"/>
          <w:lang w:val="pl-PL"/>
        </w:rPr>
        <w:t>wykazali</w:t>
      </w:r>
      <w:r w:rsidRPr="00E27625">
        <w:rPr>
          <w:rFonts w:ascii="Times New Roman" w:hAnsi="Times New Roman" w:cs="Times New Roman"/>
          <w:sz w:val="24"/>
          <w:szCs w:val="24"/>
          <w:lang w:val="pl-PL"/>
        </w:rPr>
        <w:t xml:space="preserve">, że skumulowany poziom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polskiego </w:t>
      </w:r>
      <w:r w:rsidRPr="00E27625">
        <w:rPr>
          <w:rFonts w:ascii="Times New Roman" w:hAnsi="Times New Roman" w:cs="Times New Roman"/>
          <w:sz w:val="24"/>
          <w:szCs w:val="24"/>
          <w:lang w:val="pl-PL"/>
        </w:rPr>
        <w:t>PKB wzrósł o 6% w latach 1998-2008 w porównaniu ze scenariuszem, w kt</w:t>
      </w:r>
      <w:r>
        <w:rPr>
          <w:rFonts w:ascii="Times New Roman" w:hAnsi="Times New Roman" w:cs="Times New Roman"/>
          <w:sz w:val="24"/>
          <w:szCs w:val="24"/>
          <w:lang w:val="pl-PL"/>
        </w:rPr>
        <w:t>órym Polska pozostałaby poza UE</w:t>
      </w:r>
      <w:r w:rsidRPr="00E2762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163F3" w:rsidRPr="00D95733" w:rsidRDefault="003163F3" w:rsidP="003163F3">
      <w:pPr>
        <w:spacing w:line="360" w:lineRule="auto"/>
        <w:jc w:val="both"/>
        <w:rPr>
          <w:lang w:val="pl-PL"/>
        </w:rPr>
      </w:pPr>
    </w:p>
    <w:p w:rsidR="00512F57" w:rsidRDefault="00573BE6" w:rsidP="00C50C1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0C18">
        <w:rPr>
          <w:rFonts w:ascii="Times New Roman" w:hAnsi="Times New Roman" w:cs="Times New Roman"/>
          <w:sz w:val="24"/>
          <w:szCs w:val="24"/>
          <w:lang w:val="pl-PL"/>
        </w:rPr>
        <w:t>Swobodny przepływ dóbr i usług</w:t>
      </w:r>
    </w:p>
    <w:p w:rsidR="00C50C18" w:rsidRPr="00C50C18" w:rsidRDefault="00C50C18" w:rsidP="00C50C18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0746F" w:rsidRDefault="00F43890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0C18">
        <w:rPr>
          <w:rFonts w:ascii="Times New Roman" w:hAnsi="Times New Roman" w:cs="Times New Roman"/>
          <w:sz w:val="24"/>
          <w:szCs w:val="24"/>
          <w:lang w:val="pl-PL"/>
        </w:rPr>
        <w:t>Za jeden z głównych czynników, które umożliwiły Polsce szybki rozwój gospodarczy uważa się wysoką dynamikę eksportu</w:t>
      </w:r>
      <w:r w:rsidR="005E3457" w:rsidRPr="00C50C18">
        <w:rPr>
          <w:rFonts w:ascii="Times New Roman" w:hAnsi="Times New Roman" w:cs="Times New Roman"/>
          <w:sz w:val="24"/>
          <w:szCs w:val="24"/>
          <w:lang w:val="pl-PL"/>
        </w:rPr>
        <w:t xml:space="preserve"> polskich dóbr i usług</w:t>
      </w:r>
      <w:r w:rsidR="003163F3">
        <w:rPr>
          <w:rFonts w:ascii="Times New Roman" w:hAnsi="Times New Roman" w:cs="Times New Roman"/>
          <w:sz w:val="24"/>
          <w:szCs w:val="24"/>
          <w:lang w:val="pl-PL"/>
        </w:rPr>
        <w:t xml:space="preserve"> (Belka 2013)</w:t>
      </w:r>
      <w:r w:rsidR="00C50C1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948EB">
        <w:rPr>
          <w:rFonts w:ascii="Times New Roman" w:hAnsi="Times New Roman" w:cs="Times New Roman"/>
          <w:sz w:val="24"/>
          <w:szCs w:val="24"/>
          <w:lang w:val="pl-PL"/>
        </w:rPr>
        <w:t xml:space="preserve">Nie ulega wątpliwości, że znaczną rolę w tej dynamice eksportu odegrała integracja Polski z UE, której </w:t>
      </w:r>
      <w:r w:rsidR="00417038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C50C18">
        <w:rPr>
          <w:rFonts w:ascii="Times New Roman" w:hAnsi="Times New Roman" w:cs="Times New Roman"/>
          <w:sz w:val="24"/>
          <w:szCs w:val="24"/>
          <w:lang w:val="pl-PL"/>
        </w:rPr>
        <w:t>ednym z kluczowych elementów było stopniowe obniżanie ceł</w:t>
      </w:r>
      <w:r w:rsidR="0020746F" w:rsidRPr="00C50C18">
        <w:rPr>
          <w:rFonts w:ascii="Times New Roman" w:hAnsi="Times New Roman" w:cs="Times New Roman"/>
          <w:sz w:val="24"/>
          <w:szCs w:val="24"/>
          <w:lang w:val="pl-PL"/>
        </w:rPr>
        <w:t>, jak również wszelkich jakościowych i ilościowych ograniczeń w handlu międzynarodowym</w:t>
      </w:r>
      <w:r w:rsidR="003C07C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3C07CA">
        <w:rPr>
          <w:rFonts w:ascii="Times New Roman" w:hAnsi="Times New Roman" w:cs="Times New Roman"/>
          <w:sz w:val="24"/>
          <w:szCs w:val="24"/>
          <w:lang w:val="pl-PL"/>
        </w:rPr>
        <w:t>Brodzicki</w:t>
      </w:r>
      <w:proofErr w:type="spellEnd"/>
      <w:r w:rsidR="003C07CA">
        <w:rPr>
          <w:rFonts w:ascii="Times New Roman" w:hAnsi="Times New Roman" w:cs="Times New Roman"/>
          <w:sz w:val="24"/>
          <w:szCs w:val="24"/>
          <w:lang w:val="pl-PL"/>
        </w:rPr>
        <w:t xml:space="preserve"> 2015)</w:t>
      </w:r>
      <w:r w:rsidR="0020746F" w:rsidRPr="00C50C1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48EB">
        <w:rPr>
          <w:rFonts w:ascii="Times New Roman" w:hAnsi="Times New Roman" w:cs="Times New Roman"/>
          <w:sz w:val="24"/>
          <w:szCs w:val="24"/>
          <w:lang w:val="pl-PL"/>
        </w:rPr>
        <w:t xml:space="preserve"> Konsekwentnie, już</w:t>
      </w:r>
      <w:r w:rsidR="0020746F" w:rsidRPr="00C50C18">
        <w:rPr>
          <w:rFonts w:ascii="Times New Roman" w:hAnsi="Times New Roman" w:cs="Times New Roman"/>
          <w:sz w:val="24"/>
          <w:szCs w:val="24"/>
          <w:lang w:val="pl-PL"/>
        </w:rPr>
        <w:t xml:space="preserve"> przed akcesją ekonomiści spodziewali się wystąpienia tzw. efektów kreacji i przesunięcia handlu (Hubner 2003</w:t>
      </w:r>
      <w:r w:rsidR="007F3596">
        <w:rPr>
          <w:rFonts w:ascii="Times New Roman" w:hAnsi="Times New Roman" w:cs="Times New Roman"/>
          <w:sz w:val="24"/>
          <w:szCs w:val="24"/>
          <w:lang w:val="pl-PL"/>
        </w:rPr>
        <w:t>, Pietras 2003</w:t>
      </w:r>
      <w:r w:rsidR="0020746F" w:rsidRPr="00C50C18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:rsidR="00417038" w:rsidRDefault="00417038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07CA" w:rsidRDefault="003C07CA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07CA" w:rsidRDefault="003C07CA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07CA" w:rsidRDefault="003C07CA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E01A6" w:rsidRDefault="005E01A6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07CA" w:rsidRDefault="003C07CA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07CA" w:rsidRDefault="003C07CA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C07CA" w:rsidRDefault="003C07CA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C0C30" w:rsidRDefault="007C0C30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  <w:sectPr w:rsidR="007C0C30" w:rsidSect="00CD3BBC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50C18" w:rsidRPr="007F3596" w:rsidRDefault="007F47C9" w:rsidP="0063180C">
      <w:pPr>
        <w:jc w:val="center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lastRenderedPageBreak/>
        <w:t>W</w:t>
      </w:r>
      <w:r w:rsidR="00C50C18" w:rsidRPr="007F3596">
        <w:rPr>
          <w:rFonts w:ascii="Times New Roman" w:hAnsi="Times New Roman" w:cs="Times New Roman"/>
          <w:i/>
          <w:lang w:val="pl-PL"/>
        </w:rPr>
        <w:t>ykres 2. Eksport do Polski i import z Polski w latach 1991-2016.</w:t>
      </w:r>
    </w:p>
    <w:p w:rsidR="007E0D8D" w:rsidRDefault="007E0D8D" w:rsidP="0063180C">
      <w:pPr>
        <w:jc w:val="center"/>
        <w:rPr>
          <w:i/>
          <w:lang w:val="pl-P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E132033">
            <wp:simplePos x="0" y="0"/>
            <wp:positionH relativeFrom="margin">
              <wp:align>center</wp:align>
            </wp:positionH>
            <wp:positionV relativeFrom="paragraph">
              <wp:posOffset>1987</wp:posOffset>
            </wp:positionV>
            <wp:extent cx="487680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16" y="21544"/>
                <wp:lineTo x="21516" y="0"/>
                <wp:lineTo x="0" y="0"/>
              </wp:wrapPolygon>
            </wp:wrapTight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5D722B0A-979A-415B-B2B8-EECA824F72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7E0D8D" w:rsidRDefault="007E0D8D" w:rsidP="0063180C">
      <w:pPr>
        <w:jc w:val="center"/>
        <w:rPr>
          <w:i/>
          <w:lang w:val="pl-PL"/>
        </w:rPr>
      </w:pPr>
    </w:p>
    <w:p w:rsidR="00784A25" w:rsidRPr="00D95733" w:rsidRDefault="00784A25" w:rsidP="0063180C">
      <w:pPr>
        <w:jc w:val="center"/>
        <w:rPr>
          <w:i/>
          <w:lang w:val="pl-PL"/>
        </w:rPr>
      </w:pPr>
    </w:p>
    <w:p w:rsidR="007F3596" w:rsidRDefault="007F3596" w:rsidP="007D726E">
      <w:pPr>
        <w:rPr>
          <w:lang w:val="pl-PL"/>
        </w:rPr>
      </w:pPr>
    </w:p>
    <w:p w:rsidR="007F3596" w:rsidRDefault="007F3596" w:rsidP="007D726E">
      <w:pPr>
        <w:rPr>
          <w:lang w:val="pl-PL"/>
        </w:rPr>
      </w:pPr>
    </w:p>
    <w:p w:rsidR="007F3596" w:rsidRDefault="007F3596" w:rsidP="007D726E">
      <w:pPr>
        <w:rPr>
          <w:lang w:val="pl-PL"/>
        </w:rPr>
      </w:pPr>
    </w:p>
    <w:p w:rsidR="007F3596" w:rsidRDefault="007F3596" w:rsidP="007D726E">
      <w:pPr>
        <w:rPr>
          <w:lang w:val="pl-PL"/>
        </w:rPr>
      </w:pPr>
    </w:p>
    <w:p w:rsidR="007F3596" w:rsidRDefault="007F3596" w:rsidP="007D726E">
      <w:pPr>
        <w:rPr>
          <w:lang w:val="pl-PL"/>
        </w:rPr>
      </w:pPr>
    </w:p>
    <w:p w:rsidR="007F3596" w:rsidRDefault="007F3596" w:rsidP="007D726E">
      <w:pPr>
        <w:rPr>
          <w:lang w:val="pl-PL"/>
        </w:rPr>
      </w:pPr>
    </w:p>
    <w:p w:rsidR="007F3596" w:rsidRDefault="007F3596" w:rsidP="007D726E">
      <w:pPr>
        <w:rPr>
          <w:lang w:val="pl-PL"/>
        </w:rPr>
      </w:pPr>
    </w:p>
    <w:p w:rsidR="007F3596" w:rsidRDefault="007F3596" w:rsidP="007D726E">
      <w:pPr>
        <w:rPr>
          <w:lang w:val="pl-PL"/>
        </w:rPr>
      </w:pPr>
    </w:p>
    <w:p w:rsidR="007F3596" w:rsidRDefault="007F3596" w:rsidP="007D726E">
      <w:pPr>
        <w:rPr>
          <w:lang w:val="pl-PL"/>
        </w:rPr>
      </w:pPr>
    </w:p>
    <w:p w:rsidR="007F3596" w:rsidRDefault="007F3596" w:rsidP="007D726E">
      <w:pPr>
        <w:rPr>
          <w:lang w:val="pl-PL"/>
        </w:rPr>
      </w:pPr>
    </w:p>
    <w:p w:rsidR="007F3596" w:rsidRPr="00216FCE" w:rsidRDefault="007F3596" w:rsidP="007F3596">
      <w:pPr>
        <w:jc w:val="center"/>
        <w:rPr>
          <w:rFonts w:ascii="Times New Roman" w:hAnsi="Times New Roman" w:cs="Times New Roman"/>
          <w:i/>
          <w:lang w:val="pl-PL"/>
        </w:rPr>
      </w:pPr>
      <w:r w:rsidRPr="00216FCE">
        <w:rPr>
          <w:rFonts w:ascii="Times New Roman" w:hAnsi="Times New Roman" w:cs="Times New Roman"/>
          <w:i/>
          <w:lang w:val="pl-PL"/>
        </w:rPr>
        <w:t>Źródło: GUS.</w:t>
      </w:r>
    </w:p>
    <w:p w:rsidR="007F3596" w:rsidRDefault="007F3596" w:rsidP="007D726E">
      <w:pPr>
        <w:rPr>
          <w:lang w:val="pl-PL"/>
        </w:rPr>
      </w:pPr>
    </w:p>
    <w:p w:rsidR="00784A25" w:rsidRDefault="00784A25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3596">
        <w:rPr>
          <w:rFonts w:ascii="Times New Roman" w:hAnsi="Times New Roman" w:cs="Times New Roman"/>
          <w:sz w:val="24"/>
          <w:szCs w:val="24"/>
          <w:lang w:val="pl-PL"/>
        </w:rPr>
        <w:t xml:space="preserve">Ekspansja </w:t>
      </w:r>
      <w:r w:rsidR="003C07CA">
        <w:rPr>
          <w:rFonts w:ascii="Times New Roman" w:hAnsi="Times New Roman" w:cs="Times New Roman"/>
          <w:sz w:val="24"/>
          <w:szCs w:val="24"/>
          <w:lang w:val="pl-PL"/>
        </w:rPr>
        <w:t>polskiego eksportu</w:t>
      </w:r>
      <w:r w:rsidRPr="007F3596">
        <w:rPr>
          <w:rFonts w:ascii="Times New Roman" w:hAnsi="Times New Roman" w:cs="Times New Roman"/>
          <w:sz w:val="24"/>
          <w:szCs w:val="24"/>
          <w:lang w:val="pl-PL"/>
        </w:rPr>
        <w:t xml:space="preserve"> znajduje potwierdzenie w danych – </w:t>
      </w:r>
      <w:r w:rsidR="00573BE6" w:rsidRPr="007F359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D726E" w:rsidRPr="007F3596">
        <w:rPr>
          <w:rFonts w:ascii="Times New Roman" w:hAnsi="Times New Roman" w:cs="Times New Roman"/>
          <w:sz w:val="24"/>
          <w:szCs w:val="24"/>
          <w:lang w:val="pl-PL"/>
        </w:rPr>
        <w:t xml:space="preserve"> rzeczy samej, eksport Polski wzrósł z 75,2 mld USD w roku 2004 do ponad 204 mld USD w roku 2016 (</w:t>
      </w:r>
      <w:r w:rsidR="007F3596" w:rsidRPr="007F3596">
        <w:rPr>
          <w:rFonts w:ascii="Times New Roman" w:hAnsi="Times New Roman" w:cs="Times New Roman"/>
          <w:sz w:val="24"/>
          <w:szCs w:val="24"/>
          <w:lang w:val="pl-PL"/>
        </w:rPr>
        <w:t xml:space="preserve">do poziomu </w:t>
      </w:r>
      <w:r w:rsidR="007D726E" w:rsidRPr="007F3596">
        <w:rPr>
          <w:rFonts w:ascii="Times New Roman" w:hAnsi="Times New Roman" w:cs="Times New Roman"/>
          <w:sz w:val="24"/>
          <w:szCs w:val="24"/>
          <w:lang w:val="pl-PL"/>
        </w:rPr>
        <w:t>43,2% PKB)</w:t>
      </w:r>
      <w:r w:rsidR="00873E7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D726E" w:rsidRPr="007F3596">
        <w:rPr>
          <w:rFonts w:ascii="Times New Roman" w:hAnsi="Times New Roman" w:cs="Times New Roman"/>
          <w:sz w:val="24"/>
          <w:szCs w:val="24"/>
          <w:lang w:val="pl-PL"/>
        </w:rPr>
        <w:t xml:space="preserve"> czyli aż o 171%. Import wzrósł </w:t>
      </w:r>
      <w:r w:rsidR="003C07CA">
        <w:rPr>
          <w:rFonts w:ascii="Times New Roman" w:hAnsi="Times New Roman" w:cs="Times New Roman"/>
          <w:sz w:val="24"/>
          <w:szCs w:val="24"/>
          <w:lang w:val="pl-PL"/>
        </w:rPr>
        <w:t xml:space="preserve">w tym samym okresie </w:t>
      </w:r>
      <w:r w:rsidR="007D726E" w:rsidRPr="007F3596">
        <w:rPr>
          <w:rFonts w:ascii="Times New Roman" w:hAnsi="Times New Roman" w:cs="Times New Roman"/>
          <w:sz w:val="24"/>
          <w:szCs w:val="24"/>
          <w:lang w:val="pl-PL"/>
        </w:rPr>
        <w:t xml:space="preserve">z poziomu </w:t>
      </w:r>
      <w:r w:rsidR="00573BE6" w:rsidRPr="007F3596">
        <w:rPr>
          <w:rFonts w:ascii="Times New Roman" w:hAnsi="Times New Roman" w:cs="Times New Roman"/>
          <w:sz w:val="24"/>
          <w:szCs w:val="24"/>
          <w:lang w:val="pl-PL"/>
        </w:rPr>
        <w:t xml:space="preserve">89,7 mld USD </w:t>
      </w:r>
      <w:r w:rsidR="003C07CA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573BE6" w:rsidRPr="007F3596">
        <w:rPr>
          <w:rFonts w:ascii="Times New Roman" w:hAnsi="Times New Roman" w:cs="Times New Roman"/>
          <w:sz w:val="24"/>
          <w:szCs w:val="24"/>
          <w:lang w:val="pl-PL"/>
        </w:rPr>
        <w:t xml:space="preserve">o niemal 200 mld USD. </w:t>
      </w:r>
      <w:r w:rsidR="007F3596" w:rsidRPr="007F3596">
        <w:rPr>
          <w:rFonts w:ascii="Times New Roman" w:hAnsi="Times New Roman" w:cs="Times New Roman"/>
          <w:sz w:val="24"/>
          <w:szCs w:val="24"/>
          <w:lang w:val="pl-PL"/>
        </w:rPr>
        <w:t xml:space="preserve">Co więcej, zdecydowana większość eksportu z Polski trafia do UE – proporcja ta po akcesji utrzymała się na poziomie nieco </w:t>
      </w:r>
      <w:r w:rsidR="003C07CA">
        <w:rPr>
          <w:rFonts w:ascii="Times New Roman" w:hAnsi="Times New Roman" w:cs="Times New Roman"/>
          <w:sz w:val="24"/>
          <w:szCs w:val="24"/>
          <w:lang w:val="pl-PL"/>
        </w:rPr>
        <w:t>powyżej 75</w:t>
      </w:r>
      <w:r w:rsidRPr="007F3596">
        <w:rPr>
          <w:rFonts w:ascii="Times New Roman" w:hAnsi="Times New Roman" w:cs="Times New Roman"/>
          <w:sz w:val="24"/>
          <w:szCs w:val="24"/>
          <w:lang w:val="pl-PL"/>
        </w:rPr>
        <w:t>%</w:t>
      </w:r>
      <w:r w:rsidRPr="007F3596"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id="3"/>
      </w:r>
      <w:r w:rsidR="007F3596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D90A26" w:rsidRPr="00D90A26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="007F3596" w:rsidRPr="00D90A26">
        <w:rPr>
          <w:rFonts w:ascii="Times New Roman" w:hAnsi="Times New Roman" w:cs="Times New Roman"/>
          <w:i/>
          <w:sz w:val="24"/>
          <w:szCs w:val="24"/>
          <w:lang w:val="pl-PL"/>
        </w:rPr>
        <w:t>ykres 3</w:t>
      </w:r>
      <w:r w:rsidR="007F3596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D90A2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C07C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F3596">
        <w:rPr>
          <w:rFonts w:ascii="Times New Roman" w:hAnsi="Times New Roman" w:cs="Times New Roman"/>
          <w:sz w:val="24"/>
          <w:szCs w:val="24"/>
          <w:lang w:val="pl-PL"/>
        </w:rPr>
        <w:t>Dla importu ten wskaźnik jest nieco niższy i wynosi obecnie ni</w:t>
      </w:r>
      <w:r w:rsidR="00A8280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7F3596">
        <w:rPr>
          <w:rFonts w:ascii="Times New Roman" w:hAnsi="Times New Roman" w:cs="Times New Roman"/>
          <w:sz w:val="24"/>
          <w:szCs w:val="24"/>
          <w:lang w:val="pl-PL"/>
        </w:rPr>
        <w:t xml:space="preserve">co ponad 70%, co jest związane przede wszystkim z importem towarów z Chin i </w:t>
      </w:r>
      <w:r w:rsidR="003C07CA">
        <w:rPr>
          <w:rFonts w:ascii="Times New Roman" w:hAnsi="Times New Roman" w:cs="Times New Roman"/>
          <w:sz w:val="24"/>
          <w:szCs w:val="24"/>
          <w:lang w:val="pl-PL"/>
        </w:rPr>
        <w:t xml:space="preserve">surowców z </w:t>
      </w:r>
      <w:r w:rsidR="007F3596">
        <w:rPr>
          <w:rFonts w:ascii="Times New Roman" w:hAnsi="Times New Roman" w:cs="Times New Roman"/>
          <w:sz w:val="24"/>
          <w:szCs w:val="24"/>
          <w:lang w:val="pl-PL"/>
        </w:rPr>
        <w:t>Rosji.</w:t>
      </w:r>
      <w:r w:rsidR="003D2C7B">
        <w:rPr>
          <w:rFonts w:ascii="Times New Roman" w:hAnsi="Times New Roman" w:cs="Times New Roman"/>
          <w:sz w:val="24"/>
          <w:szCs w:val="24"/>
          <w:lang w:val="pl-PL"/>
        </w:rPr>
        <w:t xml:space="preserve"> Ekonomiści szacują, że </w:t>
      </w:r>
      <w:r w:rsidR="003D2C7B" w:rsidRPr="003D2C7B">
        <w:rPr>
          <w:rFonts w:ascii="Times New Roman" w:hAnsi="Times New Roman" w:cs="Times New Roman"/>
          <w:sz w:val="24"/>
          <w:szCs w:val="24"/>
          <w:lang w:val="pl-PL"/>
        </w:rPr>
        <w:t>gdyby nie akces</w:t>
      </w:r>
      <w:r w:rsidR="00D02604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3D2C7B" w:rsidRPr="003D2C7B">
        <w:rPr>
          <w:rFonts w:ascii="Times New Roman" w:hAnsi="Times New Roman" w:cs="Times New Roman"/>
          <w:sz w:val="24"/>
          <w:szCs w:val="24"/>
          <w:lang w:val="pl-PL"/>
        </w:rPr>
        <w:t>a Polski do UE</w:t>
      </w:r>
      <w:r w:rsidR="00873E7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D2C7B" w:rsidRPr="003D2C7B">
        <w:rPr>
          <w:rFonts w:ascii="Times New Roman" w:hAnsi="Times New Roman" w:cs="Times New Roman"/>
          <w:sz w:val="24"/>
          <w:szCs w:val="24"/>
          <w:lang w:val="pl-PL"/>
        </w:rPr>
        <w:t xml:space="preserve"> to w 2013 roku wartość polskiego </w:t>
      </w:r>
      <w:r w:rsidR="00417038" w:rsidRPr="003D2C7B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417038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417038" w:rsidRPr="003D2C7B">
        <w:rPr>
          <w:rFonts w:ascii="Times New Roman" w:hAnsi="Times New Roman" w:cs="Times New Roman"/>
          <w:sz w:val="24"/>
          <w:szCs w:val="24"/>
          <w:lang w:val="pl-PL"/>
        </w:rPr>
        <w:t>sportu</w:t>
      </w:r>
      <w:r w:rsidR="003D2C7B" w:rsidRPr="003D2C7B">
        <w:rPr>
          <w:rFonts w:ascii="Times New Roman" w:hAnsi="Times New Roman" w:cs="Times New Roman"/>
          <w:sz w:val="24"/>
          <w:szCs w:val="24"/>
          <w:lang w:val="pl-PL"/>
        </w:rPr>
        <w:t xml:space="preserve"> mogłaby być mniejsza nawet o 25% (M</w:t>
      </w:r>
      <w:r w:rsidR="0050549F">
        <w:rPr>
          <w:rFonts w:ascii="Times New Roman" w:hAnsi="Times New Roman" w:cs="Times New Roman"/>
          <w:sz w:val="24"/>
          <w:szCs w:val="24"/>
          <w:lang w:val="pl-PL"/>
        </w:rPr>
        <w:t>inisterstwo Spraw Zagranicznych</w:t>
      </w:r>
      <w:r w:rsidR="003D2C7B" w:rsidRPr="003D2C7B">
        <w:rPr>
          <w:rFonts w:ascii="Times New Roman" w:hAnsi="Times New Roman" w:cs="Times New Roman"/>
          <w:sz w:val="24"/>
          <w:szCs w:val="24"/>
          <w:lang w:val="pl-PL"/>
        </w:rPr>
        <w:t xml:space="preserve"> 2014).</w:t>
      </w:r>
    </w:p>
    <w:p w:rsidR="00216FCE" w:rsidRDefault="00216FCE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FCE" w:rsidRDefault="00216FCE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E01A6" w:rsidRDefault="005E01A6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90A26" w:rsidRDefault="00D90A26" w:rsidP="00D90A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Warto w tym kontekście podkreślić rolę Niemiec jako głównego partnera handlowego Polski. W 2015 roku Niemcy odpowiadały za 27,3% polskiego eksportu i 23,5% polskiego importu (GUS 2015).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 ile wzrost eksportu</w:t>
      </w:r>
      <w:r w:rsidR="003D135F">
        <w:rPr>
          <w:rFonts w:ascii="Times New Roman" w:hAnsi="Times New Roman" w:cs="Times New Roman"/>
          <w:sz w:val="24"/>
          <w:szCs w:val="24"/>
          <w:lang w:val="pl-PL"/>
        </w:rPr>
        <w:t xml:space="preserve"> do UE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jest zjawiskiem pozytywnym, to znaczne uzależnienie Polski od handlu z </w:t>
      </w:r>
      <w:r w:rsidR="003D135F">
        <w:rPr>
          <w:rFonts w:ascii="Times New Roman" w:hAnsi="Times New Roman" w:cs="Times New Roman"/>
          <w:sz w:val="24"/>
          <w:szCs w:val="24"/>
          <w:lang w:val="pl-PL"/>
        </w:rPr>
        <w:t>krajami Wspólnoty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powoduje zwiększenie podatności na tzw.</w:t>
      </w:r>
      <w:r w:rsidR="003D135F">
        <w:rPr>
          <w:rFonts w:ascii="Times New Roman" w:hAnsi="Times New Roman" w:cs="Times New Roman"/>
          <w:sz w:val="24"/>
          <w:szCs w:val="24"/>
          <w:lang w:val="pl-PL"/>
        </w:rPr>
        <w:t xml:space="preserve"> popytowe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szoki zewnętrzne w konsekwencji spowolnienia bądź recesji w UE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id="4"/>
      </w:r>
      <w:r>
        <w:rPr>
          <w:rFonts w:ascii="Times New Roman" w:hAnsi="Times New Roman" w:cs="Times New Roman"/>
          <w:sz w:val="24"/>
          <w:szCs w:val="24"/>
          <w:lang w:val="pl-PL"/>
        </w:rPr>
        <w:t>. W istocie, niedawny r</w:t>
      </w:r>
      <w:r>
        <w:rPr>
          <w:rFonts w:ascii="Times New Roman" w:hAnsi="Times New Roman" w:cs="Times New Roman"/>
          <w:lang w:val="pl-PL"/>
        </w:rPr>
        <w:t xml:space="preserve">aport przygotowany przez </w:t>
      </w:r>
      <w:proofErr w:type="spellStart"/>
      <w:r>
        <w:rPr>
          <w:rFonts w:ascii="Times New Roman" w:hAnsi="Times New Roman" w:cs="Times New Roman"/>
          <w:lang w:val="pl-PL"/>
        </w:rPr>
        <w:t>McKinsey</w:t>
      </w:r>
      <w:proofErr w:type="spellEnd"/>
      <w:r>
        <w:rPr>
          <w:rFonts w:ascii="Times New Roman" w:hAnsi="Times New Roman" w:cs="Times New Roman"/>
          <w:lang w:val="pl-PL"/>
        </w:rPr>
        <w:t xml:space="preserve"> (2015) zwraca uwagę na konieczność zwiększenia wymiany handlowej Polski z krajami spoza UE, zwłaszcza z Azji.</w:t>
      </w:r>
    </w:p>
    <w:p w:rsidR="00216FCE" w:rsidRDefault="00216FCE" w:rsidP="007F35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FCE" w:rsidRPr="00216FCE" w:rsidRDefault="00216FCE" w:rsidP="00216FC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16FCE">
        <w:rPr>
          <w:rFonts w:ascii="Times New Roman" w:hAnsi="Times New Roman" w:cs="Times New Roman"/>
          <w:i/>
          <w:sz w:val="24"/>
          <w:szCs w:val="24"/>
          <w:lang w:val="pl-PL"/>
        </w:rPr>
        <w:t>Wykres 3. Procentowy udział UE w wymianie handlowej Polski w latach 2002-2016.</w:t>
      </w:r>
    </w:p>
    <w:p w:rsidR="00807D0D" w:rsidRDefault="00A8280C" w:rsidP="00A8280C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37F13E76" wp14:editId="469F076D">
            <wp:extent cx="3196828" cy="3514725"/>
            <wp:effectExtent l="0" t="0" r="3810" b="9525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6547A203-B658-44C7-A0C0-2501606F58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6FCE" w:rsidRPr="00216FCE" w:rsidRDefault="00216FCE" w:rsidP="00A8280C">
      <w:pPr>
        <w:jc w:val="center"/>
        <w:rPr>
          <w:rFonts w:ascii="Times New Roman" w:hAnsi="Times New Roman" w:cs="Times New Roman"/>
          <w:i/>
          <w:lang w:val="pl-PL"/>
        </w:rPr>
      </w:pPr>
      <w:r w:rsidRPr="00216FCE">
        <w:rPr>
          <w:rFonts w:ascii="Times New Roman" w:hAnsi="Times New Roman" w:cs="Times New Roman"/>
          <w:i/>
          <w:lang w:val="pl-PL"/>
        </w:rPr>
        <w:t>Źródło: Eurostat.</w:t>
      </w:r>
    </w:p>
    <w:p w:rsidR="00807D0D" w:rsidRDefault="00807D0D" w:rsidP="00784A25">
      <w:pPr>
        <w:jc w:val="both"/>
        <w:rPr>
          <w:lang w:val="pl-PL"/>
        </w:rPr>
      </w:pPr>
    </w:p>
    <w:p w:rsidR="003D135F" w:rsidRDefault="003D135F" w:rsidP="00784A25">
      <w:pPr>
        <w:jc w:val="both"/>
        <w:rPr>
          <w:lang w:val="pl-PL"/>
        </w:rPr>
      </w:pPr>
    </w:p>
    <w:p w:rsidR="003D135F" w:rsidRDefault="003D135F" w:rsidP="00784A25">
      <w:pPr>
        <w:jc w:val="both"/>
        <w:rPr>
          <w:lang w:val="pl-PL"/>
        </w:rPr>
      </w:pPr>
    </w:p>
    <w:p w:rsidR="003D135F" w:rsidRDefault="003D135F" w:rsidP="00784A25">
      <w:pPr>
        <w:jc w:val="both"/>
        <w:rPr>
          <w:lang w:val="pl-PL"/>
        </w:rPr>
      </w:pPr>
    </w:p>
    <w:p w:rsidR="003D135F" w:rsidRDefault="003D135F" w:rsidP="00784A25">
      <w:pPr>
        <w:jc w:val="both"/>
        <w:rPr>
          <w:lang w:val="pl-PL"/>
        </w:rPr>
      </w:pPr>
    </w:p>
    <w:p w:rsidR="003D135F" w:rsidRDefault="003D135F" w:rsidP="00784A25">
      <w:pPr>
        <w:jc w:val="both"/>
        <w:rPr>
          <w:lang w:val="pl-PL"/>
        </w:rPr>
      </w:pPr>
    </w:p>
    <w:p w:rsidR="00512F57" w:rsidRDefault="00B61D02" w:rsidP="00512F57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468B8">
        <w:rPr>
          <w:rFonts w:ascii="Times New Roman" w:hAnsi="Times New Roman" w:cs="Times New Roman"/>
          <w:sz w:val="24"/>
          <w:szCs w:val="24"/>
          <w:lang w:val="pl-PL"/>
        </w:rPr>
        <w:lastRenderedPageBreak/>
        <w:t>Swoboda przepływu kapitału</w:t>
      </w:r>
    </w:p>
    <w:p w:rsidR="00A468B8" w:rsidRPr="00A468B8" w:rsidRDefault="00A468B8" w:rsidP="00A468B8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A468B8" w:rsidRPr="00A468B8" w:rsidRDefault="00C12E00" w:rsidP="00A46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Kolejnym z omawianych czynników </w:t>
      </w:r>
      <w:r w:rsidR="00216FCE"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jest wpływ integracji Polski z UE na wielkość przypływów i odpływów </w:t>
      </w:r>
      <w:r w:rsidRPr="00216FCE">
        <w:rPr>
          <w:rFonts w:ascii="Times New Roman" w:hAnsi="Times New Roman" w:cs="Times New Roman"/>
          <w:sz w:val="24"/>
          <w:szCs w:val="24"/>
          <w:lang w:val="pl-PL"/>
        </w:rPr>
        <w:t>bezpośredni</w:t>
      </w:r>
      <w:r w:rsidR="00216FCE" w:rsidRPr="00216FC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 inwestycj</w:t>
      </w:r>
      <w:r w:rsidR="00216FCE" w:rsidRPr="00216FC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 zagraniczn</w:t>
      </w:r>
      <w:r w:rsidR="00216FCE" w:rsidRPr="00216FCE">
        <w:rPr>
          <w:rFonts w:ascii="Times New Roman" w:hAnsi="Times New Roman" w:cs="Times New Roman"/>
          <w:sz w:val="24"/>
          <w:szCs w:val="24"/>
          <w:lang w:val="pl-PL"/>
        </w:rPr>
        <w:t>ych (BIZ) do i z Polski. BIZ</w:t>
      </w:r>
      <w:r w:rsidR="00F05D5B"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D135F">
        <w:rPr>
          <w:rFonts w:ascii="Times New Roman" w:hAnsi="Times New Roman" w:cs="Times New Roman"/>
          <w:sz w:val="24"/>
          <w:szCs w:val="24"/>
          <w:lang w:val="pl-PL"/>
        </w:rPr>
        <w:t xml:space="preserve">są </w:t>
      </w:r>
      <w:r w:rsidR="00B61D02"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powszechnie </w:t>
      </w:r>
      <w:r w:rsidR="00F05D5B"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uważane </w:t>
      </w:r>
      <w:r w:rsidR="00B37156" w:rsidRPr="00216FC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216FCE" w:rsidRPr="00216FC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37156"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 bezpieczn</w:t>
      </w:r>
      <w:r w:rsidR="00B61D02" w:rsidRPr="00216FCE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B37156"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 i jedną</w:t>
      </w:r>
      <w:r w:rsidR="00B61D02"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 z najbardziej korzystnych form</w:t>
      </w:r>
      <w:r w:rsidR="00B37156"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 przepływów kapitałowych (</w:t>
      </w:r>
      <w:r w:rsidR="002225E7" w:rsidRPr="00216FCE">
        <w:rPr>
          <w:rFonts w:ascii="Times New Roman" w:hAnsi="Times New Roman" w:cs="Times New Roman"/>
          <w:sz w:val="24"/>
          <w:szCs w:val="24"/>
          <w:lang w:val="pl-PL"/>
        </w:rPr>
        <w:t>Zielińska-Głębocka 2012)</w:t>
      </w:r>
      <w:r w:rsidRPr="00216FCE">
        <w:rPr>
          <w:rFonts w:ascii="Times New Roman" w:hAnsi="Times New Roman" w:cs="Times New Roman"/>
          <w:sz w:val="24"/>
          <w:szCs w:val="24"/>
          <w:lang w:val="pl-PL"/>
        </w:rPr>
        <w:t>. Ekonomiczne teorie warunkujące przyciąganie BIZ do danego kraju skupiają się</w:t>
      </w:r>
      <w:r w:rsidR="00216FCE">
        <w:rPr>
          <w:rFonts w:ascii="Times New Roman" w:hAnsi="Times New Roman" w:cs="Times New Roman"/>
          <w:sz w:val="24"/>
          <w:szCs w:val="24"/>
          <w:lang w:val="pl-PL"/>
        </w:rPr>
        <w:t xml:space="preserve"> przede wszystkim</w:t>
      </w:r>
      <w:r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="00216FCE"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 czynnikach ekonomicznych (koszty pracy, wielkość rynku etc.), ale, jak podkreśla</w:t>
      </w:r>
      <w:r w:rsidR="007E0D8D"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E0D8D" w:rsidRPr="00A468B8">
        <w:rPr>
          <w:rFonts w:ascii="Times New Roman" w:hAnsi="Times New Roman" w:cs="Times New Roman"/>
          <w:sz w:val="24"/>
          <w:szCs w:val="24"/>
          <w:lang w:val="pl-PL"/>
        </w:rPr>
        <w:t>Dunning</w:t>
      </w:r>
      <w:proofErr w:type="spellEnd"/>
      <w:r w:rsidR="00216FCE" w:rsidRPr="00A468B8">
        <w:rPr>
          <w:rFonts w:ascii="Times New Roman" w:hAnsi="Times New Roman" w:cs="Times New Roman"/>
          <w:sz w:val="24"/>
          <w:szCs w:val="24"/>
          <w:lang w:val="pl-PL"/>
        </w:rPr>
        <w:t xml:space="preserve"> (2003, 2006) inwestorzy biorą też pod uwagę inne czynniki takie jak ryzyko polityczne czy jakość systemu prawnego</w:t>
      </w:r>
      <w:r w:rsidR="00A468B8" w:rsidRPr="00A468B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61D02" w:rsidRPr="00A468B8" w:rsidRDefault="00216FCE" w:rsidP="00A46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68B8">
        <w:rPr>
          <w:rFonts w:ascii="Times New Roman" w:hAnsi="Times New Roman" w:cs="Times New Roman"/>
          <w:sz w:val="24"/>
          <w:szCs w:val="24"/>
          <w:lang w:val="pl-PL"/>
        </w:rPr>
        <w:t xml:space="preserve">W przypadku Polski znaczenie odgrywały </w:t>
      </w:r>
      <w:r w:rsidR="00A468B8" w:rsidRPr="00A468B8">
        <w:rPr>
          <w:rFonts w:ascii="Times New Roman" w:hAnsi="Times New Roman" w:cs="Times New Roman"/>
          <w:sz w:val="24"/>
          <w:szCs w:val="24"/>
          <w:lang w:val="pl-PL"/>
        </w:rPr>
        <w:t xml:space="preserve">tak ekonomiczne jak i polityczne czynniki; inwestorzy wybierali Polskę przede wszystkim ze względu na duży, niezaspokojony popyt wewnętrzny (zwłaszcza w latach 90.), niższe koszty pracy i zachęty </w:t>
      </w:r>
      <w:r w:rsidR="003D135F">
        <w:rPr>
          <w:rFonts w:ascii="Times New Roman" w:hAnsi="Times New Roman" w:cs="Times New Roman"/>
          <w:sz w:val="24"/>
          <w:szCs w:val="24"/>
          <w:lang w:val="pl-PL"/>
        </w:rPr>
        <w:t>do inwestowania (</w:t>
      </w:r>
      <w:proofErr w:type="spellStart"/>
      <w:r w:rsidR="003D135F">
        <w:rPr>
          <w:rFonts w:ascii="Times New Roman" w:hAnsi="Times New Roman" w:cs="Times New Roman"/>
          <w:sz w:val="24"/>
          <w:szCs w:val="24"/>
          <w:lang w:val="pl-PL"/>
        </w:rPr>
        <w:t>Chalid</w:t>
      </w:r>
      <w:proofErr w:type="spellEnd"/>
      <w:r w:rsidR="003D135F">
        <w:rPr>
          <w:rFonts w:ascii="Times New Roman" w:hAnsi="Times New Roman" w:cs="Times New Roman"/>
          <w:sz w:val="24"/>
          <w:szCs w:val="24"/>
          <w:lang w:val="pl-PL"/>
        </w:rPr>
        <w:t xml:space="preserve"> &amp; Young</w:t>
      </w:r>
      <w:r w:rsidR="00A468B8" w:rsidRPr="00A468B8">
        <w:rPr>
          <w:rFonts w:ascii="Times New Roman" w:hAnsi="Times New Roman" w:cs="Times New Roman"/>
          <w:sz w:val="24"/>
          <w:szCs w:val="24"/>
          <w:lang w:val="pl-PL"/>
        </w:rPr>
        <w:t xml:space="preserve"> 2013).</w:t>
      </w:r>
    </w:p>
    <w:p w:rsidR="003D135F" w:rsidRPr="003D135F" w:rsidRDefault="00C12E00" w:rsidP="003D1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68B8">
        <w:rPr>
          <w:rFonts w:ascii="Times New Roman" w:hAnsi="Times New Roman" w:cs="Times New Roman"/>
          <w:sz w:val="24"/>
          <w:szCs w:val="24"/>
          <w:lang w:val="pl-PL"/>
        </w:rPr>
        <w:t>Decyzja o wstąpieniu Polski do Unii Europejskiej stanowiła dla zagranicznych inwestorów wyraźny sygnał na temat przyszłego kierunku ewolucji polskich instytucji gospodarczych i politycznych (</w:t>
      </w:r>
      <w:r w:rsidR="00A468B8">
        <w:rPr>
          <w:rFonts w:ascii="Times New Roman" w:hAnsi="Times New Roman" w:cs="Times New Roman"/>
          <w:sz w:val="24"/>
          <w:szCs w:val="24"/>
          <w:lang w:val="pl-PL"/>
        </w:rPr>
        <w:t>Pietras 2013</w:t>
      </w:r>
      <w:r w:rsidRPr="00A468B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A468B8">
        <w:rPr>
          <w:rFonts w:ascii="Times New Roman" w:hAnsi="Times New Roman" w:cs="Times New Roman"/>
          <w:sz w:val="24"/>
          <w:szCs w:val="24"/>
          <w:lang w:val="pl-PL"/>
        </w:rPr>
        <w:t xml:space="preserve"> i tym samym znaczne obniżenie percepcji ryzyka inwestycji</w:t>
      </w:r>
      <w:r w:rsidR="00B61D02" w:rsidRPr="00A468B8">
        <w:rPr>
          <w:rFonts w:ascii="Times New Roman" w:hAnsi="Times New Roman" w:cs="Times New Roman"/>
          <w:sz w:val="24"/>
          <w:szCs w:val="24"/>
          <w:lang w:val="pl-PL"/>
        </w:rPr>
        <w:t>. Spowodowało to</w:t>
      </w:r>
      <w:r w:rsidR="003D135F">
        <w:rPr>
          <w:rFonts w:ascii="Times New Roman" w:hAnsi="Times New Roman" w:cs="Times New Roman"/>
          <w:sz w:val="24"/>
          <w:szCs w:val="24"/>
          <w:lang w:val="pl-PL"/>
        </w:rPr>
        <w:t xml:space="preserve"> (razem z polepszeniem nastrojów na rynkach światowych)</w:t>
      </w:r>
      <w:r w:rsidR="00B61D02" w:rsidRPr="00A468B8">
        <w:rPr>
          <w:rFonts w:ascii="Times New Roman" w:hAnsi="Times New Roman" w:cs="Times New Roman"/>
          <w:sz w:val="24"/>
          <w:szCs w:val="24"/>
          <w:lang w:val="pl-PL"/>
        </w:rPr>
        <w:t xml:space="preserve"> znaczny wzrost napływu BIZ do Polski – średnia wartość rocznego napływu BIZ do Polski w latach 1995-2003 wyniosła 5,6 mld USD. W latach 2004-2016 było to już </w:t>
      </w:r>
      <w:r w:rsidR="00BD6D78" w:rsidRPr="00A468B8">
        <w:rPr>
          <w:rFonts w:ascii="Times New Roman" w:hAnsi="Times New Roman" w:cs="Times New Roman"/>
          <w:sz w:val="24"/>
          <w:szCs w:val="24"/>
          <w:lang w:val="pl-PL"/>
        </w:rPr>
        <w:t>ponad dwa razy więcej (</w:t>
      </w:r>
      <w:r w:rsidR="00B61D02" w:rsidRPr="00A468B8">
        <w:rPr>
          <w:rFonts w:ascii="Times New Roman" w:hAnsi="Times New Roman" w:cs="Times New Roman"/>
          <w:sz w:val="24"/>
          <w:szCs w:val="24"/>
          <w:lang w:val="pl-PL"/>
        </w:rPr>
        <w:t>12,7 mld USD</w:t>
      </w:r>
      <w:r w:rsidR="00BD6D78" w:rsidRPr="00A468B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3D135F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3D135F" w:rsidRPr="003D135F">
        <w:rPr>
          <w:rFonts w:ascii="Times New Roman" w:hAnsi="Times New Roman" w:cs="Times New Roman"/>
          <w:i/>
          <w:sz w:val="24"/>
          <w:szCs w:val="24"/>
          <w:lang w:val="pl-PL"/>
        </w:rPr>
        <w:t>Wykres 4</w:t>
      </w:r>
      <w:r w:rsidR="003D135F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D6D78" w:rsidRPr="00A468B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9E1AF7" w:rsidRPr="00A468B8">
        <w:rPr>
          <w:rFonts w:ascii="Times New Roman" w:hAnsi="Times New Roman" w:cs="Times New Roman"/>
          <w:sz w:val="24"/>
          <w:szCs w:val="24"/>
          <w:lang w:val="pl-PL"/>
        </w:rPr>
        <w:t xml:space="preserve">Co kluczowe, zdecydowana większość skumulowanego napływu BIZ do Polski </w:t>
      </w:r>
      <w:r w:rsidR="00815F49" w:rsidRPr="00A468B8">
        <w:rPr>
          <w:rFonts w:ascii="Times New Roman" w:hAnsi="Times New Roman" w:cs="Times New Roman"/>
          <w:sz w:val="24"/>
          <w:szCs w:val="24"/>
          <w:lang w:val="pl-PL"/>
        </w:rPr>
        <w:t xml:space="preserve">pochodziła </w:t>
      </w:r>
      <w:r w:rsidR="009E1AF7" w:rsidRPr="00A468B8">
        <w:rPr>
          <w:rFonts w:ascii="Times New Roman" w:hAnsi="Times New Roman" w:cs="Times New Roman"/>
          <w:sz w:val="24"/>
          <w:szCs w:val="24"/>
          <w:lang w:val="pl-PL"/>
        </w:rPr>
        <w:t>z krajów UE</w:t>
      </w:r>
      <w:r w:rsidR="00A468B8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="00815F49" w:rsidRPr="00A468B8">
        <w:rPr>
          <w:rFonts w:ascii="Times New Roman" w:hAnsi="Times New Roman" w:cs="Times New Roman"/>
          <w:sz w:val="24"/>
          <w:szCs w:val="24"/>
          <w:lang w:val="pl-PL"/>
        </w:rPr>
        <w:t>proporcja</w:t>
      </w:r>
      <w:r w:rsidR="00A468B8">
        <w:rPr>
          <w:rFonts w:ascii="Times New Roman" w:hAnsi="Times New Roman" w:cs="Times New Roman"/>
          <w:sz w:val="24"/>
          <w:szCs w:val="24"/>
          <w:lang w:val="pl-PL"/>
        </w:rPr>
        <w:t xml:space="preserve"> ta</w:t>
      </w:r>
      <w:r w:rsidR="00815F49" w:rsidRPr="00A468B8">
        <w:rPr>
          <w:rFonts w:ascii="Times New Roman" w:hAnsi="Times New Roman" w:cs="Times New Roman"/>
          <w:sz w:val="24"/>
          <w:szCs w:val="24"/>
          <w:lang w:val="pl-PL"/>
        </w:rPr>
        <w:t xml:space="preserve"> wzrosła z 82,5% w 2003 do</w:t>
      </w:r>
      <w:r w:rsidR="009E1AF7" w:rsidRPr="00A468B8">
        <w:rPr>
          <w:rFonts w:ascii="Times New Roman" w:hAnsi="Times New Roman" w:cs="Times New Roman"/>
          <w:sz w:val="24"/>
          <w:szCs w:val="24"/>
          <w:lang w:val="pl-PL"/>
        </w:rPr>
        <w:t xml:space="preserve"> 87,5%</w:t>
      </w:r>
      <w:r w:rsidR="00815F49" w:rsidRPr="00A468B8">
        <w:rPr>
          <w:rFonts w:ascii="Times New Roman" w:hAnsi="Times New Roman" w:cs="Times New Roman"/>
          <w:sz w:val="24"/>
          <w:szCs w:val="24"/>
          <w:lang w:val="pl-PL"/>
        </w:rPr>
        <w:t xml:space="preserve"> w 2012 roku</w:t>
      </w:r>
      <w:r w:rsidR="009E1AF7" w:rsidRPr="00A468B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3D135F" w:rsidRPr="003D135F">
        <w:rPr>
          <w:rFonts w:ascii="Times New Roman" w:hAnsi="Times New Roman" w:cs="Times New Roman"/>
          <w:sz w:val="24"/>
          <w:szCs w:val="24"/>
          <w:lang w:val="pl-PL"/>
        </w:rPr>
        <w:t>Nominalnie, skumulowana wartość BIZ z krajów UE wzrosła z 37,7 mld EUR w 2002 roku do 156,8 mld EUR w roku 2012 (</w:t>
      </w:r>
      <w:r w:rsidR="003D135F" w:rsidRPr="003D135F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="003D135F" w:rsidRPr="003D135F">
        <w:rPr>
          <w:rFonts w:ascii="Times New Roman" w:hAnsi="Times New Roman" w:cs="Times New Roman"/>
          <w:i/>
          <w:sz w:val="24"/>
          <w:szCs w:val="24"/>
          <w:lang w:val="pl-PL"/>
        </w:rPr>
        <w:t>ykres 5</w:t>
      </w:r>
      <w:r w:rsidR="003D135F" w:rsidRPr="003D135F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C12E00" w:rsidRPr="00A468B8" w:rsidRDefault="009E1AF7" w:rsidP="00A46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68B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468B8" w:rsidRDefault="00A468B8" w:rsidP="00A468B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5E01A6" w:rsidRDefault="005E01A6" w:rsidP="00A468B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5E01A6" w:rsidRDefault="005E01A6" w:rsidP="00A468B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3D135F" w:rsidRDefault="003D135F" w:rsidP="00A468B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3D135F" w:rsidRDefault="003D135F" w:rsidP="00A468B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3D135F" w:rsidRDefault="003D135F" w:rsidP="00A468B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BD6D78" w:rsidRPr="00A468B8" w:rsidRDefault="00A468B8" w:rsidP="00A468B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 xml:space="preserve">Wykres 4. Roczne przypływy BIZ do Polski i odpływy BIZ z Polski. </w:t>
      </w:r>
    </w:p>
    <w:p w:rsidR="00BD6D78" w:rsidRDefault="0002203B" w:rsidP="0063180C">
      <w:pPr>
        <w:jc w:val="center"/>
        <w:rPr>
          <w:i/>
          <w:lang w:val="pl-PL"/>
        </w:rPr>
      </w:pPr>
      <w:r>
        <w:rPr>
          <w:noProof/>
        </w:rPr>
        <w:drawing>
          <wp:inline distT="0" distB="0" distL="0" distR="0" wp14:anchorId="757AEDD8" wp14:editId="07CDD657">
            <wp:extent cx="4257675" cy="3962400"/>
            <wp:effectExtent l="0" t="0" r="9525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F746A468-5421-438D-9C86-722DCF1EF8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6D78" w:rsidRPr="00A468B8" w:rsidRDefault="00A468B8" w:rsidP="0063180C">
      <w:pPr>
        <w:jc w:val="center"/>
        <w:rPr>
          <w:rFonts w:ascii="Times New Roman" w:hAnsi="Times New Roman" w:cs="Times New Roman"/>
          <w:i/>
          <w:lang w:val="pl-PL"/>
        </w:rPr>
      </w:pPr>
      <w:r w:rsidRPr="00A468B8">
        <w:rPr>
          <w:rFonts w:ascii="Times New Roman" w:hAnsi="Times New Roman" w:cs="Times New Roman"/>
          <w:i/>
          <w:lang w:val="pl-PL"/>
        </w:rPr>
        <w:t>źródło: OECD.</w:t>
      </w:r>
    </w:p>
    <w:p w:rsidR="00BD6D78" w:rsidRDefault="00BD6D78" w:rsidP="0063180C">
      <w:pPr>
        <w:jc w:val="center"/>
        <w:rPr>
          <w:i/>
          <w:lang w:val="pl-PL"/>
        </w:rPr>
      </w:pPr>
    </w:p>
    <w:p w:rsidR="00BD6D78" w:rsidRDefault="00BD6D78" w:rsidP="002959A3">
      <w:pPr>
        <w:jc w:val="both"/>
        <w:rPr>
          <w:i/>
          <w:lang w:val="pl-PL"/>
        </w:rPr>
      </w:pPr>
    </w:p>
    <w:p w:rsidR="00BD6D78" w:rsidRDefault="00BD6D78" w:rsidP="0063180C">
      <w:pPr>
        <w:jc w:val="center"/>
        <w:rPr>
          <w:i/>
          <w:lang w:val="pl-PL"/>
        </w:rPr>
      </w:pPr>
    </w:p>
    <w:p w:rsidR="00B61D02" w:rsidRPr="002959A3" w:rsidRDefault="00BD6D78" w:rsidP="0063180C">
      <w:pPr>
        <w:jc w:val="center"/>
        <w:rPr>
          <w:rFonts w:ascii="Times New Roman" w:hAnsi="Times New Roman" w:cs="Times New Roman"/>
          <w:i/>
          <w:lang w:val="pl-PL"/>
        </w:rPr>
      </w:pPr>
      <w:r w:rsidRPr="002959A3">
        <w:rPr>
          <w:rFonts w:ascii="Times New Roman" w:hAnsi="Times New Roman" w:cs="Times New Roman"/>
          <w:i/>
          <w:lang w:val="pl-PL"/>
        </w:rPr>
        <w:t xml:space="preserve">Wykres </w:t>
      </w:r>
      <w:r w:rsidR="002959A3" w:rsidRPr="002959A3">
        <w:rPr>
          <w:rFonts w:ascii="Times New Roman" w:hAnsi="Times New Roman" w:cs="Times New Roman"/>
          <w:i/>
          <w:lang w:val="pl-PL"/>
        </w:rPr>
        <w:t>5</w:t>
      </w:r>
      <w:r w:rsidRPr="002959A3">
        <w:rPr>
          <w:rFonts w:ascii="Times New Roman" w:hAnsi="Times New Roman" w:cs="Times New Roman"/>
          <w:i/>
          <w:lang w:val="pl-PL"/>
        </w:rPr>
        <w:t>. Skumulowana wartość BIZ w Polsce w podziale na kraje pochodzenia w latach 1999-2012.</w:t>
      </w:r>
    </w:p>
    <w:p w:rsidR="00815F49" w:rsidRDefault="00BD6D78" w:rsidP="0063180C">
      <w:pPr>
        <w:jc w:val="center"/>
        <w:rPr>
          <w:i/>
          <w:lang w:val="pl-P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A0E87B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68617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44" y="21526"/>
                <wp:lineTo x="21544" y="0"/>
                <wp:lineTo x="0" y="0"/>
              </wp:wrapPolygon>
            </wp:wrapTight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5C5ADECF-A552-4AF1-ADC2-284346EDA1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F49" w:rsidRDefault="00815F49" w:rsidP="0063180C">
      <w:pPr>
        <w:jc w:val="center"/>
        <w:rPr>
          <w:i/>
          <w:lang w:val="pl-PL"/>
        </w:rPr>
      </w:pPr>
    </w:p>
    <w:p w:rsidR="00815F49" w:rsidRDefault="00815F49" w:rsidP="0063180C">
      <w:pPr>
        <w:jc w:val="center"/>
        <w:rPr>
          <w:i/>
          <w:lang w:val="pl-PL"/>
        </w:rPr>
      </w:pPr>
    </w:p>
    <w:p w:rsidR="00815F49" w:rsidRDefault="00815F49" w:rsidP="0063180C">
      <w:pPr>
        <w:jc w:val="center"/>
        <w:rPr>
          <w:i/>
          <w:lang w:val="pl-PL"/>
        </w:rPr>
      </w:pPr>
    </w:p>
    <w:p w:rsidR="00815F49" w:rsidRDefault="00815F49" w:rsidP="0063180C">
      <w:pPr>
        <w:jc w:val="center"/>
        <w:rPr>
          <w:i/>
          <w:lang w:val="pl-PL"/>
        </w:rPr>
      </w:pPr>
    </w:p>
    <w:p w:rsidR="00815F49" w:rsidRDefault="00815F49" w:rsidP="0063180C">
      <w:pPr>
        <w:jc w:val="center"/>
        <w:rPr>
          <w:i/>
          <w:lang w:val="pl-PL"/>
        </w:rPr>
      </w:pPr>
    </w:p>
    <w:p w:rsidR="00815F49" w:rsidRDefault="00815F49" w:rsidP="0063180C">
      <w:pPr>
        <w:jc w:val="center"/>
        <w:rPr>
          <w:i/>
          <w:lang w:val="pl-PL"/>
        </w:rPr>
      </w:pPr>
    </w:p>
    <w:p w:rsidR="00815F49" w:rsidRDefault="00815F49" w:rsidP="0063180C">
      <w:pPr>
        <w:jc w:val="center"/>
        <w:rPr>
          <w:i/>
          <w:lang w:val="pl-PL"/>
        </w:rPr>
      </w:pPr>
    </w:p>
    <w:p w:rsidR="008B4B51" w:rsidRDefault="008B4B51" w:rsidP="0063180C">
      <w:pPr>
        <w:jc w:val="center"/>
        <w:rPr>
          <w:i/>
          <w:lang w:val="pl-PL"/>
        </w:rPr>
      </w:pPr>
    </w:p>
    <w:p w:rsidR="008B4B51" w:rsidRDefault="008B4B51" w:rsidP="0063180C">
      <w:pPr>
        <w:jc w:val="center"/>
        <w:rPr>
          <w:i/>
          <w:lang w:val="pl-PL"/>
        </w:rPr>
      </w:pPr>
    </w:p>
    <w:p w:rsidR="00C12E00" w:rsidRPr="0008179E" w:rsidRDefault="00BD6D78" w:rsidP="0008179E">
      <w:pPr>
        <w:jc w:val="center"/>
        <w:rPr>
          <w:rFonts w:ascii="Times New Roman" w:hAnsi="Times New Roman" w:cs="Times New Roman"/>
          <w:i/>
          <w:lang w:val="pl-PL"/>
        </w:rPr>
      </w:pPr>
      <w:r w:rsidRPr="002959A3">
        <w:rPr>
          <w:rFonts w:ascii="Times New Roman" w:hAnsi="Times New Roman" w:cs="Times New Roman"/>
          <w:i/>
          <w:lang w:val="pl-PL"/>
        </w:rPr>
        <w:t>Źródło: Eurostat.</w:t>
      </w:r>
    </w:p>
    <w:p w:rsidR="002959A3" w:rsidRPr="002959A3" w:rsidRDefault="00C12E00" w:rsidP="00295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59A3">
        <w:rPr>
          <w:rFonts w:ascii="Times New Roman" w:hAnsi="Times New Roman" w:cs="Times New Roman"/>
          <w:sz w:val="24"/>
          <w:szCs w:val="24"/>
          <w:lang w:val="pl-PL"/>
        </w:rPr>
        <w:lastRenderedPageBreak/>
        <w:t>Bezpośrednie inwestycje zagraniczne miały niebagatelny wpływ na rozwój gospodarczy Polski</w:t>
      </w:r>
      <w:r w:rsidR="00815F49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F40A4" w:rsidRPr="002959A3">
        <w:rPr>
          <w:rFonts w:ascii="Times New Roman" w:hAnsi="Times New Roman" w:cs="Times New Roman"/>
          <w:sz w:val="24"/>
          <w:szCs w:val="24"/>
          <w:lang w:val="pl-PL"/>
        </w:rPr>
        <w:t>Według szacunków Czerniak</w:t>
      </w:r>
      <w:r w:rsidR="00417038">
        <w:rPr>
          <w:rFonts w:ascii="Times New Roman" w:hAnsi="Times New Roman" w:cs="Times New Roman"/>
          <w:sz w:val="24"/>
          <w:szCs w:val="24"/>
          <w:lang w:val="pl-PL"/>
        </w:rPr>
        <w:t xml:space="preserve"> &amp;</w:t>
      </w:r>
      <w:r w:rsidR="008F40A4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F40A4" w:rsidRPr="002959A3">
        <w:rPr>
          <w:rFonts w:ascii="Times New Roman" w:hAnsi="Times New Roman" w:cs="Times New Roman"/>
          <w:sz w:val="24"/>
          <w:szCs w:val="24"/>
          <w:lang w:val="pl-PL"/>
        </w:rPr>
        <w:t>Blaug</w:t>
      </w:r>
      <w:proofErr w:type="spellEnd"/>
      <w:r w:rsidR="008F40A4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 (2016) BIZ </w:t>
      </w:r>
      <w:r w:rsidR="003D135F">
        <w:rPr>
          <w:rFonts w:ascii="Times New Roman" w:hAnsi="Times New Roman" w:cs="Times New Roman"/>
          <w:sz w:val="24"/>
          <w:szCs w:val="24"/>
          <w:lang w:val="pl-PL"/>
        </w:rPr>
        <w:t xml:space="preserve">w latach 1990-2015 </w:t>
      </w:r>
      <w:r w:rsidR="008F40A4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zwiększyły popyt o średnio 3% PKB rocznie, a skumulowany przyrost PKB który im zawdzięczamy wyniósł 15,6% (w porównaniu do scenariusza bez inwestycji zagranicznych). </w:t>
      </w:r>
    </w:p>
    <w:p w:rsidR="00C12E00" w:rsidRPr="002959A3" w:rsidRDefault="007E0D8D" w:rsidP="00295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59A3">
        <w:rPr>
          <w:rFonts w:ascii="Times New Roman" w:hAnsi="Times New Roman" w:cs="Times New Roman"/>
          <w:sz w:val="24"/>
          <w:szCs w:val="24"/>
          <w:lang w:val="pl-PL"/>
        </w:rPr>
        <w:t>Ważniejsza od strony popytowej wydaje</w:t>
      </w:r>
      <w:r w:rsidR="002959A3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 się być jednak strona podażowa, związana z transferem technologii</w:t>
      </w:r>
      <w:r w:rsidR="003D135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959A3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 inwestycjami kapitałowymi</w:t>
      </w:r>
      <w:r w:rsidR="00B60D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D135F">
        <w:rPr>
          <w:rFonts w:ascii="Times New Roman" w:hAnsi="Times New Roman" w:cs="Times New Roman"/>
          <w:sz w:val="24"/>
          <w:szCs w:val="24"/>
          <w:lang w:val="pl-PL"/>
        </w:rPr>
        <w:t xml:space="preserve">i tzw. </w:t>
      </w:r>
      <w:proofErr w:type="spellStart"/>
      <w:r w:rsidR="003D135F" w:rsidRPr="003D135F">
        <w:rPr>
          <w:rFonts w:ascii="Times New Roman" w:hAnsi="Times New Roman" w:cs="Times New Roman"/>
          <w:i/>
          <w:sz w:val="24"/>
          <w:szCs w:val="24"/>
          <w:lang w:val="pl-PL"/>
        </w:rPr>
        <w:t>spillover</w:t>
      </w:r>
      <w:proofErr w:type="spellEnd"/>
      <w:r w:rsidR="003D135F" w:rsidRPr="003D135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3D135F" w:rsidRPr="003D135F">
        <w:rPr>
          <w:rFonts w:ascii="Times New Roman" w:hAnsi="Times New Roman" w:cs="Times New Roman"/>
          <w:i/>
          <w:sz w:val="24"/>
          <w:szCs w:val="24"/>
          <w:lang w:val="pl-PL"/>
        </w:rPr>
        <w:t>effects</w:t>
      </w:r>
      <w:proofErr w:type="spellEnd"/>
      <w:r w:rsidR="003D13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60D7A"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spellStart"/>
      <w:r w:rsidR="00B60D7A">
        <w:rPr>
          <w:rFonts w:ascii="Times New Roman" w:hAnsi="Times New Roman" w:cs="Times New Roman"/>
          <w:sz w:val="24"/>
          <w:szCs w:val="24"/>
          <w:lang w:val="pl-PL"/>
        </w:rPr>
        <w:t>Lipsey</w:t>
      </w:r>
      <w:proofErr w:type="spellEnd"/>
      <w:r w:rsidR="00B60D7A">
        <w:rPr>
          <w:rFonts w:ascii="Times New Roman" w:hAnsi="Times New Roman" w:cs="Times New Roman"/>
          <w:sz w:val="24"/>
          <w:szCs w:val="24"/>
          <w:lang w:val="pl-PL"/>
        </w:rPr>
        <w:t xml:space="preserve"> 2006)</w:t>
      </w:r>
      <w:r w:rsidR="002959A3" w:rsidRPr="002959A3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r w:rsidR="008F40A4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Bezpośrednie inwestycje zagraniczne </w:t>
      </w:r>
      <w:r w:rsidR="00AB7399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wywarły bardzo korzystny wpływ na awans polski w </w:t>
      </w:r>
      <w:r w:rsidR="008B4B51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światowym </w:t>
      </w:r>
      <w:r w:rsidR="00AB7399" w:rsidRPr="002959A3">
        <w:rPr>
          <w:rFonts w:ascii="Times New Roman" w:hAnsi="Times New Roman" w:cs="Times New Roman"/>
          <w:sz w:val="24"/>
          <w:szCs w:val="24"/>
          <w:lang w:val="pl-PL"/>
        </w:rPr>
        <w:t>łańcuchu wartości dodanej, jak również na rynek pracy (wzrost zatrudnienia o 8,5% a płac o ok. 9%).</w:t>
      </w:r>
      <w:r w:rsidR="00BD6D78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 Co więcej, przedsiębiorstwa, nad którymi kontrolę przejmował zagraniczny właściciel zwiększały wartość dodaną o 2,2% szybciej co roku niż te w rękach krajowych właścicieli</w:t>
      </w:r>
      <w:r w:rsidR="003D3C7F">
        <w:rPr>
          <w:rFonts w:ascii="Times New Roman" w:hAnsi="Times New Roman" w:cs="Times New Roman"/>
          <w:sz w:val="24"/>
          <w:szCs w:val="24"/>
          <w:lang w:val="pl-PL"/>
        </w:rPr>
        <w:t xml:space="preserve"> (Czerniak &amp; </w:t>
      </w:r>
      <w:proofErr w:type="spellStart"/>
      <w:r w:rsidR="003D3C7F">
        <w:rPr>
          <w:rFonts w:ascii="Times New Roman" w:hAnsi="Times New Roman" w:cs="Times New Roman"/>
          <w:sz w:val="24"/>
          <w:szCs w:val="24"/>
          <w:lang w:val="pl-PL"/>
        </w:rPr>
        <w:t>Blaug</w:t>
      </w:r>
      <w:proofErr w:type="spellEnd"/>
      <w:r w:rsidR="003D3C7F">
        <w:rPr>
          <w:rFonts w:ascii="Times New Roman" w:hAnsi="Times New Roman" w:cs="Times New Roman"/>
          <w:sz w:val="24"/>
          <w:szCs w:val="24"/>
          <w:lang w:val="pl-PL"/>
        </w:rPr>
        <w:t xml:space="preserve"> 2016)</w:t>
      </w:r>
      <w:r w:rsidR="00BD6D78" w:rsidRPr="002959A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D3C7F" w:rsidRDefault="00C12E00" w:rsidP="003D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W tym miejscu należy </w:t>
      </w:r>
      <w:r w:rsidR="00B37156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jednak zwrócić uwagę nie tylko na rosnące przypływy BIZ do Polski, ale również bardzo dynamiczne rosnące odpływy. </w:t>
      </w:r>
      <w:r w:rsidR="002225E7" w:rsidRPr="002959A3">
        <w:rPr>
          <w:rFonts w:ascii="Times New Roman" w:hAnsi="Times New Roman" w:cs="Times New Roman"/>
          <w:sz w:val="24"/>
          <w:szCs w:val="24"/>
          <w:lang w:val="pl-PL"/>
        </w:rPr>
        <w:t>W rzeczy samej – między rokiem 1997 a 2012 wartość skumulowana odpływu BIZ z Polski wzrosła z nieco ponad 600 mln euro do niemal 44 mld euro (wzrost z poziomu 0,4% do 11% PKB), czyli ponad siedemdziesięciokrotnie. Co kluczowe, 78% tej kwoty został</w:t>
      </w:r>
      <w:r w:rsidR="008B4B51" w:rsidRPr="002959A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2225E7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 zainwestowan</w:t>
      </w:r>
      <w:r w:rsidR="008B4B51" w:rsidRPr="002959A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2225E7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 w krajach UE (Wojciechowski </w:t>
      </w:r>
      <w:r w:rsidR="003D3C7F">
        <w:rPr>
          <w:rFonts w:ascii="Times New Roman" w:hAnsi="Times New Roman" w:cs="Times New Roman"/>
          <w:sz w:val="24"/>
          <w:szCs w:val="24"/>
          <w:lang w:val="pl-PL"/>
        </w:rPr>
        <w:t>&amp;</w:t>
      </w:r>
      <w:r w:rsidR="003D13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D135F">
        <w:rPr>
          <w:rFonts w:ascii="Times New Roman" w:hAnsi="Times New Roman" w:cs="Times New Roman"/>
          <w:sz w:val="24"/>
          <w:szCs w:val="24"/>
          <w:lang w:val="pl-PL"/>
        </w:rPr>
        <w:t>Lubacha-Sember</w:t>
      </w:r>
      <w:proofErr w:type="spellEnd"/>
      <w:r w:rsidR="0008179E">
        <w:rPr>
          <w:rFonts w:ascii="Times New Roman" w:hAnsi="Times New Roman" w:cs="Times New Roman"/>
          <w:sz w:val="24"/>
          <w:szCs w:val="24"/>
          <w:lang w:val="pl-PL"/>
        </w:rPr>
        <w:t xml:space="preserve"> 2014) (</w:t>
      </w:r>
      <w:r w:rsidR="0008179E" w:rsidRPr="0008179E">
        <w:rPr>
          <w:rFonts w:ascii="Times New Roman" w:hAnsi="Times New Roman" w:cs="Times New Roman"/>
          <w:i/>
          <w:sz w:val="24"/>
          <w:szCs w:val="24"/>
          <w:lang w:val="pl-PL"/>
        </w:rPr>
        <w:t xml:space="preserve">Wykres </w:t>
      </w:r>
      <w:r w:rsidR="0008179E">
        <w:rPr>
          <w:rFonts w:ascii="Times New Roman" w:hAnsi="Times New Roman" w:cs="Times New Roman"/>
          <w:i/>
          <w:sz w:val="24"/>
          <w:szCs w:val="24"/>
          <w:lang w:val="pl-PL"/>
        </w:rPr>
        <w:t>6</w:t>
      </w:r>
      <w:r w:rsidR="0008179E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08179E" w:rsidRDefault="0008179E" w:rsidP="0008179E">
      <w:pPr>
        <w:jc w:val="center"/>
        <w:rPr>
          <w:i/>
          <w:lang w:val="pl-PL"/>
        </w:rPr>
      </w:pPr>
    </w:p>
    <w:p w:rsidR="00905C05" w:rsidRDefault="0008179E" w:rsidP="00081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59A3">
        <w:rPr>
          <w:rFonts w:ascii="Times New Roman" w:hAnsi="Times New Roman" w:cs="Times New Roman"/>
          <w:i/>
          <w:lang w:val="pl-PL"/>
        </w:rPr>
        <w:t xml:space="preserve">Wykres </w:t>
      </w:r>
      <w:r>
        <w:rPr>
          <w:rFonts w:ascii="Times New Roman" w:hAnsi="Times New Roman" w:cs="Times New Roman"/>
          <w:i/>
          <w:lang w:val="pl-PL"/>
        </w:rPr>
        <w:t>6</w:t>
      </w:r>
      <w:r w:rsidRPr="002959A3">
        <w:rPr>
          <w:rFonts w:ascii="Times New Roman" w:hAnsi="Times New Roman" w:cs="Times New Roman"/>
          <w:i/>
          <w:lang w:val="pl-PL"/>
        </w:rPr>
        <w:t xml:space="preserve">. Skumulowana wartość </w:t>
      </w:r>
      <w:r>
        <w:rPr>
          <w:rFonts w:ascii="Times New Roman" w:hAnsi="Times New Roman" w:cs="Times New Roman"/>
          <w:i/>
          <w:lang w:val="pl-PL"/>
        </w:rPr>
        <w:t xml:space="preserve">odpływów </w:t>
      </w:r>
      <w:r w:rsidRPr="002959A3">
        <w:rPr>
          <w:rFonts w:ascii="Times New Roman" w:hAnsi="Times New Roman" w:cs="Times New Roman"/>
          <w:i/>
          <w:lang w:val="pl-PL"/>
        </w:rPr>
        <w:t>BIZ w Pols</w:t>
      </w:r>
      <w:r>
        <w:rPr>
          <w:rFonts w:ascii="Times New Roman" w:hAnsi="Times New Roman" w:cs="Times New Roman"/>
          <w:i/>
          <w:lang w:val="pl-PL"/>
        </w:rPr>
        <w:t>ki</w:t>
      </w:r>
      <w:r w:rsidRPr="002959A3">
        <w:rPr>
          <w:rFonts w:ascii="Times New Roman" w:hAnsi="Times New Roman" w:cs="Times New Roman"/>
          <w:i/>
          <w:lang w:val="pl-PL"/>
        </w:rPr>
        <w:t xml:space="preserve"> w podziale na kraje </w:t>
      </w:r>
      <w:r>
        <w:rPr>
          <w:rFonts w:ascii="Times New Roman" w:hAnsi="Times New Roman" w:cs="Times New Roman"/>
          <w:i/>
          <w:lang w:val="pl-PL"/>
        </w:rPr>
        <w:t>docelowe</w:t>
      </w:r>
      <w:r w:rsidRPr="002959A3">
        <w:rPr>
          <w:rFonts w:ascii="Times New Roman" w:hAnsi="Times New Roman" w:cs="Times New Roman"/>
          <w:i/>
          <w:lang w:val="pl-PL"/>
        </w:rPr>
        <w:t xml:space="preserve"> w latach 1999-2012</w:t>
      </w:r>
      <w:r>
        <w:rPr>
          <w:rFonts w:ascii="Times New Roman" w:hAnsi="Times New Roman" w:cs="Times New Roman"/>
          <w:i/>
          <w:lang w:val="pl-PL"/>
        </w:rPr>
        <w:t>.</w:t>
      </w:r>
    </w:p>
    <w:p w:rsidR="00905C05" w:rsidRDefault="0008179E" w:rsidP="003D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3B38C37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274185" cy="2647950"/>
            <wp:effectExtent l="0" t="0" r="12065" b="0"/>
            <wp:wrapTight wrapText="bothSides">
              <wp:wrapPolygon edited="0">
                <wp:start x="0" y="0"/>
                <wp:lineTo x="0" y="21445"/>
                <wp:lineTo x="21565" y="21445"/>
                <wp:lineTo x="21565" y="0"/>
                <wp:lineTo x="0" y="0"/>
              </wp:wrapPolygon>
            </wp:wrapTight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5C5ADECF-A552-4AF1-ADC2-284346EDA1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C05" w:rsidRDefault="00905C05" w:rsidP="003D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05C05" w:rsidRDefault="00905C05" w:rsidP="003D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05C05" w:rsidRDefault="00905C05" w:rsidP="003D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05C05" w:rsidRDefault="00905C05" w:rsidP="003D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05C05" w:rsidRDefault="00905C05" w:rsidP="003D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05C05" w:rsidRDefault="00905C05" w:rsidP="003D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8179E" w:rsidRDefault="0008179E" w:rsidP="0008179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08179E" w:rsidRDefault="0008179E" w:rsidP="00081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8179E">
        <w:rPr>
          <w:rFonts w:ascii="Times New Roman" w:hAnsi="Times New Roman" w:cs="Times New Roman"/>
          <w:i/>
          <w:sz w:val="24"/>
          <w:szCs w:val="24"/>
          <w:lang w:val="pl-PL"/>
        </w:rPr>
        <w:t>źródło: Eurostat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2203B" w:rsidRPr="003D3C7F" w:rsidRDefault="00AB7399" w:rsidP="003D3C7F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2959A3">
        <w:rPr>
          <w:rFonts w:ascii="Times New Roman" w:hAnsi="Times New Roman" w:cs="Times New Roman"/>
          <w:sz w:val="24"/>
          <w:szCs w:val="24"/>
          <w:lang w:val="pl-PL"/>
        </w:rPr>
        <w:lastRenderedPageBreak/>
        <w:t>D</w:t>
      </w:r>
      <w:r w:rsidR="002225E7" w:rsidRPr="002959A3">
        <w:rPr>
          <w:rFonts w:ascii="Times New Roman" w:hAnsi="Times New Roman" w:cs="Times New Roman"/>
          <w:sz w:val="24"/>
          <w:szCs w:val="24"/>
          <w:lang w:val="pl-PL"/>
        </w:rPr>
        <w:t>ynamika odpływu BIZ z Polski znacznie przyspieszyła po wstąpieniu przez kraj do Unii Europejskiej: w okresie 1995-200</w:t>
      </w:r>
      <w:r w:rsidR="00B54212" w:rsidRPr="002959A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225E7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 średnia roczna wartość odpływu wynosiła </w:t>
      </w:r>
      <w:r w:rsidR="00B54212" w:rsidRPr="002959A3">
        <w:rPr>
          <w:rFonts w:ascii="Times New Roman" w:hAnsi="Times New Roman" w:cs="Times New Roman"/>
          <w:sz w:val="24"/>
          <w:szCs w:val="24"/>
          <w:lang w:val="pl-PL"/>
        </w:rPr>
        <w:t>185 ml</w:t>
      </w:r>
      <w:r w:rsidR="008B4B51" w:rsidRPr="002959A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B54212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B4B51" w:rsidRPr="002959A3">
        <w:rPr>
          <w:rFonts w:ascii="Times New Roman" w:hAnsi="Times New Roman" w:cs="Times New Roman"/>
          <w:sz w:val="24"/>
          <w:szCs w:val="24"/>
          <w:lang w:val="pl-PL"/>
        </w:rPr>
        <w:t>USD</w:t>
      </w:r>
      <w:r w:rsidR="00B54212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; w pierwszej dekadzie obecności Polski w UE – 2,9 mld </w:t>
      </w:r>
      <w:r w:rsidR="008B4B51" w:rsidRPr="002959A3">
        <w:rPr>
          <w:rFonts w:ascii="Times New Roman" w:hAnsi="Times New Roman" w:cs="Times New Roman"/>
          <w:sz w:val="24"/>
          <w:szCs w:val="24"/>
          <w:lang w:val="pl-PL"/>
        </w:rPr>
        <w:t>USD (niemal piętnastokrotny wzrost)</w:t>
      </w:r>
      <w:r w:rsidR="00B54212" w:rsidRPr="002959A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D1E63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59A3">
        <w:rPr>
          <w:rFonts w:ascii="Times New Roman" w:hAnsi="Times New Roman" w:cs="Times New Roman"/>
          <w:sz w:val="24"/>
          <w:szCs w:val="24"/>
          <w:lang w:val="pl-PL"/>
        </w:rPr>
        <w:t>Warto zauważyć, że o ile w pierwszych latach po akcesji polskie BIZ były lokowane głównie w krajach „starej” Unii, to z bie</w:t>
      </w:r>
      <w:r w:rsidR="002959A3" w:rsidRPr="002959A3">
        <w:rPr>
          <w:rFonts w:ascii="Times New Roman" w:hAnsi="Times New Roman" w:cs="Times New Roman"/>
          <w:sz w:val="24"/>
          <w:szCs w:val="24"/>
          <w:lang w:val="pl-PL"/>
        </w:rPr>
        <w:t>giem lat ta proporcja ewoluuje</w:t>
      </w:r>
      <w:r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 na korzyść takich państw jak Rumunia, Czechy czy Litwa</w:t>
      </w:r>
      <w:r w:rsidR="008B4B51"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2959A3">
        <w:rPr>
          <w:rFonts w:ascii="Times New Roman" w:hAnsi="Times New Roman" w:cs="Times New Roman"/>
          <w:sz w:val="24"/>
          <w:szCs w:val="24"/>
          <w:lang w:val="pl-PL"/>
        </w:rPr>
        <w:t>Buś-</w:t>
      </w:r>
      <w:proofErr w:type="spellStart"/>
      <w:r w:rsidR="002959A3">
        <w:rPr>
          <w:rFonts w:ascii="Times New Roman" w:hAnsi="Times New Roman" w:cs="Times New Roman"/>
          <w:sz w:val="24"/>
          <w:szCs w:val="24"/>
          <w:lang w:val="pl-PL"/>
        </w:rPr>
        <w:t>Bidas</w:t>
      </w:r>
      <w:proofErr w:type="spellEnd"/>
      <w:r w:rsidR="002959A3">
        <w:rPr>
          <w:rFonts w:ascii="Times New Roman" w:hAnsi="Times New Roman" w:cs="Times New Roman"/>
          <w:sz w:val="24"/>
          <w:szCs w:val="24"/>
          <w:lang w:val="pl-PL"/>
        </w:rPr>
        <w:t xml:space="preserve"> 2016</w:t>
      </w:r>
      <w:r w:rsidR="008B4B51" w:rsidRPr="002959A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2959A3">
        <w:rPr>
          <w:rFonts w:ascii="Times New Roman" w:hAnsi="Times New Roman" w:cs="Times New Roman"/>
          <w:sz w:val="24"/>
          <w:szCs w:val="24"/>
          <w:lang w:val="pl-PL"/>
        </w:rPr>
        <w:t>. Dynamiczny wzrost odpływów BIZ z Polski świadczy o „dojrzewaniu” polskich firm i ich rosnącej przewagi konkurencyjnej w danych branżach</w:t>
      </w:r>
      <w:r w:rsidR="003D3C7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959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2203B" w:rsidRPr="00D95733" w:rsidRDefault="0002203B" w:rsidP="0063180C">
      <w:pPr>
        <w:jc w:val="center"/>
        <w:rPr>
          <w:i/>
          <w:lang w:val="pl-PL"/>
        </w:rPr>
      </w:pPr>
    </w:p>
    <w:p w:rsidR="0063180C" w:rsidRPr="003D3C7F" w:rsidRDefault="00CD2157" w:rsidP="003D3C7F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Swoboda przepływu osób</w:t>
      </w:r>
    </w:p>
    <w:p w:rsidR="003D3C7F" w:rsidRPr="00CD2157" w:rsidRDefault="00096696" w:rsidP="003D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3C7F">
        <w:rPr>
          <w:rFonts w:ascii="Times New Roman" w:hAnsi="Times New Roman" w:cs="Times New Roman"/>
          <w:sz w:val="24"/>
          <w:szCs w:val="24"/>
          <w:lang w:val="pl-PL"/>
        </w:rPr>
        <w:t xml:space="preserve">Swoboda przepływu osób </w:t>
      </w:r>
      <w:r w:rsidR="005570E3">
        <w:rPr>
          <w:rFonts w:ascii="Times New Roman" w:hAnsi="Times New Roman" w:cs="Times New Roman"/>
          <w:sz w:val="24"/>
          <w:szCs w:val="24"/>
          <w:lang w:val="pl-PL"/>
        </w:rPr>
        <w:t xml:space="preserve">w UE </w:t>
      </w:r>
      <w:r w:rsidRPr="003D3C7F">
        <w:rPr>
          <w:rFonts w:ascii="Times New Roman" w:hAnsi="Times New Roman" w:cs="Times New Roman"/>
          <w:sz w:val="24"/>
          <w:szCs w:val="24"/>
          <w:lang w:val="pl-PL"/>
        </w:rPr>
        <w:t>wpł</w:t>
      </w:r>
      <w:r w:rsidR="005570E3">
        <w:rPr>
          <w:rFonts w:ascii="Times New Roman" w:hAnsi="Times New Roman" w:cs="Times New Roman"/>
          <w:sz w:val="24"/>
          <w:szCs w:val="24"/>
          <w:lang w:val="pl-PL"/>
        </w:rPr>
        <w:t>ynęła</w:t>
      </w:r>
      <w:r w:rsidRPr="003D3C7F">
        <w:rPr>
          <w:rFonts w:ascii="Times New Roman" w:hAnsi="Times New Roman" w:cs="Times New Roman"/>
          <w:sz w:val="24"/>
          <w:szCs w:val="24"/>
          <w:lang w:val="pl-PL"/>
        </w:rPr>
        <w:t xml:space="preserve"> na polską gospodarkę </w:t>
      </w:r>
      <w:r w:rsidR="00CD2157">
        <w:rPr>
          <w:rFonts w:ascii="Times New Roman" w:hAnsi="Times New Roman" w:cs="Times New Roman"/>
          <w:sz w:val="24"/>
          <w:szCs w:val="24"/>
          <w:lang w:val="pl-PL"/>
        </w:rPr>
        <w:t>w sposób niejednoznaczny</w:t>
      </w:r>
      <w:r w:rsidRPr="003D3C7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3D3C7F">
        <w:rPr>
          <w:rFonts w:ascii="Times New Roman" w:hAnsi="Times New Roman" w:cs="Times New Roman"/>
          <w:sz w:val="24"/>
          <w:szCs w:val="24"/>
          <w:lang w:val="pl-PL"/>
        </w:rPr>
        <w:t xml:space="preserve">Z szacunków GUS wynika, że około 2,5 </w:t>
      </w:r>
      <w:r w:rsidR="003D3C7F" w:rsidRPr="003D3C7F">
        <w:rPr>
          <w:rFonts w:ascii="Times New Roman" w:hAnsi="Times New Roman" w:cs="Times New Roman"/>
          <w:sz w:val="24"/>
          <w:szCs w:val="24"/>
          <w:lang w:val="pl-PL"/>
        </w:rPr>
        <w:t>mln Polaków przebywa za granicą</w:t>
      </w:r>
      <w:r w:rsidR="003D3C7F">
        <w:rPr>
          <w:rFonts w:ascii="Times New Roman" w:hAnsi="Times New Roman" w:cs="Times New Roman"/>
          <w:sz w:val="24"/>
          <w:szCs w:val="24"/>
          <w:lang w:val="pl-PL"/>
        </w:rPr>
        <w:t>, z czego ok. 2,1 mln w krajach UE</w:t>
      </w:r>
      <w:r w:rsidR="00CD2157">
        <w:rPr>
          <w:rFonts w:ascii="Times New Roman" w:hAnsi="Times New Roman" w:cs="Times New Roman"/>
          <w:sz w:val="24"/>
          <w:szCs w:val="24"/>
          <w:lang w:val="pl-PL"/>
        </w:rPr>
        <w:t xml:space="preserve"> (GUS 2016)</w:t>
      </w:r>
      <w:r w:rsidR="003D3C7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647E8" w:rsidRPr="003D3C7F">
        <w:rPr>
          <w:rFonts w:ascii="Times New Roman" w:hAnsi="Times New Roman" w:cs="Times New Roman"/>
          <w:sz w:val="24"/>
          <w:szCs w:val="24"/>
          <w:lang w:val="pl-PL"/>
        </w:rPr>
        <w:t>Dla polskiej gospodarki oznaczało to utratę znacznej części osób w wieku produkcyjnym</w:t>
      </w:r>
      <w:r w:rsidR="00CD2157">
        <w:rPr>
          <w:rFonts w:ascii="Times New Roman" w:hAnsi="Times New Roman" w:cs="Times New Roman"/>
          <w:sz w:val="24"/>
          <w:szCs w:val="24"/>
          <w:lang w:val="pl-PL"/>
        </w:rPr>
        <w:t xml:space="preserve">, co w sytuacji dużego bezrobocia poprawia sytuację na rynku pracy (niemniej sytuacji dobrej koniunktury może pogarszać problemy z dostępem do siły roboczej, ograniczając wzrost gospodarczy). </w:t>
      </w:r>
      <w:r w:rsidR="00CD2157" w:rsidRPr="00CD2157">
        <w:rPr>
          <w:rFonts w:ascii="Times New Roman" w:hAnsi="Times New Roman" w:cs="Times New Roman"/>
          <w:i/>
          <w:sz w:val="24"/>
          <w:szCs w:val="24"/>
          <w:lang w:val="pl-PL"/>
        </w:rPr>
        <w:t>Exodus</w:t>
      </w:r>
      <w:r w:rsidR="00CD215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CD2157">
        <w:rPr>
          <w:rFonts w:ascii="Times New Roman" w:hAnsi="Times New Roman" w:cs="Times New Roman"/>
          <w:sz w:val="24"/>
          <w:szCs w:val="24"/>
          <w:lang w:val="pl-PL"/>
        </w:rPr>
        <w:t xml:space="preserve">młodych osób w wieku produkcyjnym wpłynie też negatywnie na system zabezpieczeń społecznych w długim okresie. </w:t>
      </w:r>
    </w:p>
    <w:p w:rsidR="003D3C7F" w:rsidRDefault="00096696" w:rsidP="003D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3C7F">
        <w:rPr>
          <w:rFonts w:ascii="Times New Roman" w:hAnsi="Times New Roman" w:cs="Times New Roman"/>
          <w:sz w:val="24"/>
          <w:szCs w:val="24"/>
          <w:lang w:val="pl-PL"/>
        </w:rPr>
        <w:t>Mimo to, Belka (2013) zwraca uwagę na pozytywny wpływ transferów pieniężnych przekazyw</w:t>
      </w:r>
      <w:r w:rsidR="00CD2157">
        <w:rPr>
          <w:rFonts w:ascii="Times New Roman" w:hAnsi="Times New Roman" w:cs="Times New Roman"/>
          <w:sz w:val="24"/>
          <w:szCs w:val="24"/>
          <w:lang w:val="pl-PL"/>
        </w:rPr>
        <w:t>anych przez emigrantów do kraju (w ciągu 10 lat od wejścia Polski do UE transfery te wyniosły 31,6 mld EUR) (Chmielewska 2015).</w:t>
      </w:r>
    </w:p>
    <w:p w:rsidR="00D02604" w:rsidRDefault="00096696" w:rsidP="003D3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3C7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736A7" w:rsidRPr="00CD2157" w:rsidRDefault="00512F57" w:rsidP="00CD2157">
      <w:pPr>
        <w:pStyle w:val="Akapitzlis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D2157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AF2AB6" w:rsidRPr="00CD2157">
        <w:rPr>
          <w:rFonts w:ascii="Times New Roman" w:hAnsi="Times New Roman" w:cs="Times New Roman"/>
          <w:sz w:val="24"/>
          <w:szCs w:val="24"/>
          <w:lang w:val="pl-PL"/>
        </w:rPr>
        <w:t>undusze europejskie</w:t>
      </w:r>
    </w:p>
    <w:p w:rsidR="00217E4E" w:rsidRDefault="003B0ACB" w:rsidP="00CD2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2157">
        <w:rPr>
          <w:rFonts w:ascii="Times New Roman" w:hAnsi="Times New Roman" w:cs="Times New Roman"/>
          <w:sz w:val="24"/>
          <w:szCs w:val="24"/>
          <w:lang w:val="pl-PL"/>
        </w:rPr>
        <w:t>Trzecim z kanałów wpływu członkostwa Polski w Unii Europejskiej są fundusze strukturalne</w:t>
      </w:r>
      <w:r w:rsidR="002A3153" w:rsidRPr="00CD2157">
        <w:rPr>
          <w:rFonts w:ascii="Times New Roman" w:hAnsi="Times New Roman" w:cs="Times New Roman"/>
          <w:sz w:val="24"/>
          <w:szCs w:val="24"/>
          <w:lang w:val="pl-PL"/>
        </w:rPr>
        <w:t>, mające na celu przyspieszyć procesy konwergencji Polski do krajów tzw. „starej UE”</w:t>
      </w:r>
      <w:r w:rsidR="000C5DA6" w:rsidRPr="00CD215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A3153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jak również zmniejszyć różnice w</w:t>
      </w:r>
      <w:r w:rsidR="00D51769">
        <w:rPr>
          <w:rFonts w:ascii="Times New Roman" w:hAnsi="Times New Roman" w:cs="Times New Roman"/>
          <w:sz w:val="24"/>
          <w:szCs w:val="24"/>
          <w:lang w:val="pl-PL"/>
        </w:rPr>
        <w:t xml:space="preserve"> szeroko rozumianym poziomie</w:t>
      </w:r>
      <w:r w:rsidR="002A3153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rozwoju gospodarcz</w:t>
      </w:r>
      <w:r w:rsidR="00D51769">
        <w:rPr>
          <w:rFonts w:ascii="Times New Roman" w:hAnsi="Times New Roman" w:cs="Times New Roman"/>
          <w:sz w:val="24"/>
          <w:szCs w:val="24"/>
          <w:lang w:val="pl-PL"/>
        </w:rPr>
        <w:t xml:space="preserve">ego </w:t>
      </w:r>
      <w:r w:rsidR="002A3153" w:rsidRPr="00CD2157">
        <w:rPr>
          <w:rFonts w:ascii="Times New Roman" w:hAnsi="Times New Roman" w:cs="Times New Roman"/>
          <w:sz w:val="24"/>
          <w:szCs w:val="24"/>
          <w:lang w:val="pl-PL"/>
        </w:rPr>
        <w:t>pomiędzy regionami kraju</w:t>
      </w:r>
      <w:r w:rsidR="00B60D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549F">
        <w:rPr>
          <w:rFonts w:ascii="Times New Roman" w:hAnsi="Times New Roman" w:cs="Times New Roman"/>
          <w:sz w:val="24"/>
          <w:szCs w:val="24"/>
          <w:lang w:val="pl-PL"/>
        </w:rPr>
        <w:t>Komisja Europejska</w:t>
      </w:r>
      <w:r w:rsidR="00D51769">
        <w:rPr>
          <w:rFonts w:ascii="Times New Roman" w:hAnsi="Times New Roman" w:cs="Times New Roman"/>
          <w:sz w:val="24"/>
          <w:szCs w:val="24"/>
          <w:lang w:val="pl-PL"/>
        </w:rPr>
        <w:t xml:space="preserve"> 2015</w:t>
      </w:r>
      <w:r w:rsidR="00B60D7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2A3153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. Mimo tych szczytnych założeń, dotychczasowe badania </w:t>
      </w:r>
      <w:r w:rsidR="005E01A6">
        <w:rPr>
          <w:rFonts w:ascii="Times New Roman" w:hAnsi="Times New Roman" w:cs="Times New Roman"/>
          <w:sz w:val="24"/>
          <w:szCs w:val="24"/>
          <w:lang w:val="pl-PL"/>
        </w:rPr>
        <w:t>nie rozstrzygają jednoznacznie czy</w:t>
      </w:r>
      <w:r w:rsidR="002A3153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transfery pieniężne są w stanie pobudzić długookresowe tempo wzrostu gospodarczego </w:t>
      </w:r>
      <w:r w:rsidR="000C5DA6" w:rsidRPr="00CD2157">
        <w:rPr>
          <w:rFonts w:ascii="Times New Roman" w:hAnsi="Times New Roman" w:cs="Times New Roman"/>
          <w:sz w:val="24"/>
          <w:szCs w:val="24"/>
          <w:lang w:val="pl-PL"/>
        </w:rPr>
        <w:t>kraju</w:t>
      </w:r>
      <w:r w:rsidR="002A3153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B60D7A">
        <w:rPr>
          <w:rFonts w:ascii="Times New Roman" w:hAnsi="Times New Roman" w:cs="Times New Roman"/>
          <w:sz w:val="24"/>
          <w:szCs w:val="24"/>
          <w:lang w:val="pl-PL"/>
        </w:rPr>
        <w:t>Ederveen</w:t>
      </w:r>
      <w:proofErr w:type="spellEnd"/>
      <w:r w:rsidR="00B60D7A">
        <w:rPr>
          <w:rFonts w:ascii="Times New Roman" w:hAnsi="Times New Roman" w:cs="Times New Roman"/>
          <w:sz w:val="24"/>
          <w:szCs w:val="24"/>
          <w:lang w:val="pl-PL"/>
        </w:rPr>
        <w:t xml:space="preserve"> et al.</w:t>
      </w:r>
      <w:r w:rsidR="002A3153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2003; </w:t>
      </w:r>
      <w:proofErr w:type="spellStart"/>
      <w:r w:rsidR="00B60D7A">
        <w:rPr>
          <w:rFonts w:ascii="Times New Roman" w:hAnsi="Times New Roman" w:cs="Times New Roman"/>
          <w:sz w:val="24"/>
          <w:szCs w:val="24"/>
          <w:lang w:val="pl-PL"/>
        </w:rPr>
        <w:t>Marzinotto</w:t>
      </w:r>
      <w:proofErr w:type="spellEnd"/>
      <w:r w:rsidR="002A3153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2012</w:t>
      </w:r>
      <w:r w:rsidR="007F47C9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  <w:r w:rsidR="002A3153" w:rsidRPr="00CD2157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0C5DA6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undusze europejskie mają jednak sprecyzowaną, „projektową” strukturę, </w:t>
      </w:r>
      <w:r w:rsidR="000C5DA6" w:rsidRPr="00CD2157">
        <w:rPr>
          <w:rFonts w:ascii="Times New Roman" w:hAnsi="Times New Roman" w:cs="Times New Roman"/>
          <w:sz w:val="24"/>
          <w:szCs w:val="24"/>
          <w:lang w:val="pl-PL"/>
        </w:rPr>
        <w:lastRenderedPageBreak/>
        <w:t>co może przyczyniać się do ich większej skuteczności w porównaniu ze zwykłym transferem fiskalnym</w:t>
      </w:r>
      <w:r w:rsidR="000C5DA6" w:rsidRPr="00CD2157"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id="5"/>
      </w:r>
      <w:r w:rsidR="000C5DA6" w:rsidRPr="00CD215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D2C7B" w:rsidRDefault="003D2C7B" w:rsidP="00B644D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B644DA" w:rsidRPr="00B644DA" w:rsidRDefault="00B644DA" w:rsidP="00B644D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644DA">
        <w:rPr>
          <w:rFonts w:ascii="Times New Roman" w:hAnsi="Times New Roman" w:cs="Times New Roman"/>
          <w:i/>
          <w:sz w:val="24"/>
          <w:szCs w:val="24"/>
          <w:lang w:val="pl-PL"/>
        </w:rPr>
        <w:t xml:space="preserve">Wykres </w:t>
      </w:r>
      <w:r w:rsidR="0008179E">
        <w:rPr>
          <w:rFonts w:ascii="Times New Roman" w:hAnsi="Times New Roman" w:cs="Times New Roman"/>
          <w:i/>
          <w:sz w:val="24"/>
          <w:szCs w:val="24"/>
          <w:lang w:val="pl-PL"/>
        </w:rPr>
        <w:t>7</w:t>
      </w:r>
      <w:r w:rsidRPr="00B644DA">
        <w:rPr>
          <w:rFonts w:ascii="Times New Roman" w:hAnsi="Times New Roman" w:cs="Times New Roman"/>
          <w:i/>
          <w:sz w:val="24"/>
          <w:szCs w:val="24"/>
          <w:lang w:val="pl-PL"/>
        </w:rPr>
        <w:t>. Wielkość transferów pieniężnych z Unii Europejskiej do Polski i składki członkowskiej Polski (mln EUR).</w:t>
      </w:r>
    </w:p>
    <w:p w:rsidR="00B644DA" w:rsidRDefault="00B644DA" w:rsidP="00CD2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F53167">
            <wp:simplePos x="0" y="0"/>
            <wp:positionH relativeFrom="column">
              <wp:posOffset>418143</wp:posOffset>
            </wp:positionH>
            <wp:positionV relativeFrom="paragraph">
              <wp:posOffset>12205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3E7EC514-A223-4248-AFB2-524B77B018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B644DA" w:rsidRDefault="00B644DA" w:rsidP="00CD2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44DA" w:rsidRDefault="00B644DA" w:rsidP="00CD2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44DA" w:rsidRDefault="00B644DA" w:rsidP="00CD2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44DA" w:rsidRPr="00CD2157" w:rsidRDefault="00B644DA" w:rsidP="00CD2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44DA" w:rsidRDefault="00B644DA" w:rsidP="00CD2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44DA" w:rsidRDefault="00B644DA" w:rsidP="00CD2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44DA" w:rsidRDefault="00B644DA" w:rsidP="00CD2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44DA" w:rsidRDefault="00B644DA" w:rsidP="00CD2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44DA" w:rsidRDefault="00B644DA" w:rsidP="00B644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644DA">
        <w:rPr>
          <w:rFonts w:ascii="Times New Roman" w:hAnsi="Times New Roman" w:cs="Times New Roman"/>
          <w:i/>
          <w:sz w:val="24"/>
          <w:szCs w:val="24"/>
          <w:lang w:val="pl-PL"/>
        </w:rPr>
        <w:t>źródło: Ministerstwo Finansów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RP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644DA" w:rsidRDefault="00B644DA" w:rsidP="00CD2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DA6" w:rsidRPr="00CD2157" w:rsidRDefault="000C5DA6" w:rsidP="009F6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2157">
        <w:rPr>
          <w:rFonts w:ascii="Times New Roman" w:hAnsi="Times New Roman" w:cs="Times New Roman"/>
          <w:sz w:val="24"/>
          <w:szCs w:val="24"/>
          <w:lang w:val="pl-PL"/>
        </w:rPr>
        <w:t>Mimo relatywnie wysokiej wielkości funduszy, które Polska otrzymała w latach 2004-20</w:t>
      </w:r>
      <w:r w:rsidR="009F69E6">
        <w:rPr>
          <w:rFonts w:ascii="Times New Roman" w:hAnsi="Times New Roman" w:cs="Times New Roman"/>
          <w:sz w:val="24"/>
          <w:szCs w:val="24"/>
          <w:lang w:val="pl-PL"/>
        </w:rPr>
        <w:t>16</w:t>
      </w:r>
      <w:r w:rsidR="0008179E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08179E" w:rsidRPr="0008179E">
        <w:rPr>
          <w:rFonts w:ascii="Times New Roman" w:hAnsi="Times New Roman" w:cs="Times New Roman"/>
          <w:i/>
          <w:sz w:val="24"/>
          <w:szCs w:val="24"/>
          <w:lang w:val="pl-PL"/>
        </w:rPr>
        <w:t>Wykres 7</w:t>
      </w:r>
      <w:r w:rsidR="0008179E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CD2157">
        <w:rPr>
          <w:rFonts w:ascii="Times New Roman" w:hAnsi="Times New Roman" w:cs="Times New Roman"/>
          <w:sz w:val="24"/>
          <w:szCs w:val="24"/>
          <w:lang w:val="pl-PL"/>
        </w:rPr>
        <w:t>, bilans wpływu funduszy unijnych na polską gospodarkę nie jest jednoznaczny. O ile ciężko jest zaprzeczyć pozytywnemu wpływowi funduszy na rozwój infrastruktury (zwłaszcza drogowej i kolejowej)</w:t>
      </w:r>
      <w:r w:rsidR="0041703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co skutkowało zwiększeniem atrakcyjności inwestycyjnej i turystycznej Polski </w:t>
      </w:r>
      <w:r w:rsidR="00D51769">
        <w:rPr>
          <w:rFonts w:ascii="Times New Roman" w:hAnsi="Times New Roman" w:cs="Times New Roman"/>
          <w:sz w:val="24"/>
          <w:szCs w:val="24"/>
          <w:lang w:val="pl-PL"/>
        </w:rPr>
        <w:t xml:space="preserve">(Ministerstwo Spraw Zagranicznych 2014) </w:t>
      </w:r>
      <w:r w:rsidRPr="00CD2157">
        <w:rPr>
          <w:rFonts w:ascii="Times New Roman" w:hAnsi="Times New Roman" w:cs="Times New Roman"/>
          <w:sz w:val="24"/>
          <w:szCs w:val="24"/>
          <w:lang w:val="pl-PL"/>
        </w:rPr>
        <w:t>to wyniki w zakresie chociażby wyrównywania poziomu rozwoju pomiędzy regionami kraju wyglądają znacznie gorzej.</w:t>
      </w:r>
    </w:p>
    <w:p w:rsidR="006D1D1A" w:rsidRPr="00CD2157" w:rsidRDefault="006D1D1A" w:rsidP="00CD2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CD2157">
        <w:rPr>
          <w:rFonts w:ascii="Times New Roman" w:hAnsi="Times New Roman" w:cs="Times New Roman"/>
          <w:sz w:val="24"/>
          <w:szCs w:val="24"/>
          <w:lang w:val="pl-PL"/>
        </w:rPr>
        <w:t>Churski</w:t>
      </w:r>
      <w:proofErr w:type="spellEnd"/>
      <w:r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et. </w:t>
      </w:r>
      <w:r w:rsidR="00D5176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D2157">
        <w:rPr>
          <w:rFonts w:ascii="Times New Roman" w:hAnsi="Times New Roman" w:cs="Times New Roman"/>
          <w:sz w:val="24"/>
          <w:szCs w:val="24"/>
          <w:lang w:val="pl-PL"/>
        </w:rPr>
        <w:t>l. (2015) wykazali że, pomimo założeń polityki spójności, inwestycje publiczne realizowane w ramach programów unijnych jedynie w ograniczonym stopniu były realizowane na tzw. obszarach stagnacji gospo</w:t>
      </w:r>
      <w:r w:rsidR="00873E70">
        <w:rPr>
          <w:rFonts w:ascii="Times New Roman" w:hAnsi="Times New Roman" w:cs="Times New Roman"/>
          <w:sz w:val="24"/>
          <w:szCs w:val="24"/>
          <w:lang w:val="pl-PL"/>
        </w:rPr>
        <w:t>darczej. W</w:t>
      </w:r>
      <w:r w:rsidRPr="00CD2157">
        <w:rPr>
          <w:rFonts w:ascii="Times New Roman" w:hAnsi="Times New Roman" w:cs="Times New Roman"/>
          <w:sz w:val="24"/>
          <w:szCs w:val="24"/>
          <w:lang w:val="pl-PL"/>
        </w:rPr>
        <w:t>yniki</w:t>
      </w:r>
      <w:r w:rsidR="00873E70">
        <w:rPr>
          <w:rFonts w:ascii="Times New Roman" w:hAnsi="Times New Roman" w:cs="Times New Roman"/>
          <w:sz w:val="24"/>
          <w:szCs w:val="24"/>
          <w:lang w:val="pl-PL"/>
        </w:rPr>
        <w:t xml:space="preserve"> te</w:t>
      </w:r>
      <w:r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każą też postawić pytania na temat skuteczności polskiej administracji w efektywnej alokacji i wykorzystaniu środków unijnych</w:t>
      </w:r>
      <w:r w:rsidRPr="00CD2157"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id="6"/>
      </w:r>
      <w:r w:rsidRPr="00CD215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70391" w:rsidRPr="00CD2157" w:rsidRDefault="000C5DA6" w:rsidP="00CD2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2157">
        <w:rPr>
          <w:rFonts w:ascii="Times New Roman" w:hAnsi="Times New Roman" w:cs="Times New Roman"/>
          <w:sz w:val="24"/>
          <w:szCs w:val="24"/>
          <w:lang w:val="pl-PL"/>
        </w:rPr>
        <w:lastRenderedPageBreak/>
        <w:t>Co więcej, oceny</w:t>
      </w:r>
      <w:r w:rsidR="00770391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osiągane przez Po</w:t>
      </w:r>
      <w:r w:rsidR="002705A4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lskę w rankingu innowacyjności </w:t>
      </w:r>
      <w:proofErr w:type="spellStart"/>
      <w:r w:rsidR="002705A4" w:rsidRPr="0008179E">
        <w:rPr>
          <w:rFonts w:ascii="Times New Roman" w:hAnsi="Times New Roman" w:cs="Times New Roman"/>
          <w:i/>
          <w:sz w:val="24"/>
          <w:szCs w:val="24"/>
          <w:lang w:val="pl-PL"/>
        </w:rPr>
        <w:t>I</w:t>
      </w:r>
      <w:r w:rsidR="00770391" w:rsidRPr="0008179E">
        <w:rPr>
          <w:rFonts w:ascii="Times New Roman" w:hAnsi="Times New Roman" w:cs="Times New Roman"/>
          <w:i/>
          <w:sz w:val="24"/>
          <w:szCs w:val="24"/>
          <w:lang w:val="pl-PL"/>
        </w:rPr>
        <w:t>nnoavation</w:t>
      </w:r>
      <w:proofErr w:type="spellEnd"/>
      <w:r w:rsidR="00770391" w:rsidRPr="0008179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2705A4" w:rsidRPr="0008179E">
        <w:rPr>
          <w:rFonts w:ascii="Times New Roman" w:hAnsi="Times New Roman" w:cs="Times New Roman"/>
          <w:i/>
          <w:sz w:val="24"/>
          <w:szCs w:val="24"/>
          <w:lang w:val="pl-PL"/>
        </w:rPr>
        <w:t>S</w:t>
      </w:r>
      <w:r w:rsidR="00770391" w:rsidRPr="0008179E">
        <w:rPr>
          <w:rFonts w:ascii="Times New Roman" w:hAnsi="Times New Roman" w:cs="Times New Roman"/>
          <w:i/>
          <w:sz w:val="24"/>
          <w:szCs w:val="24"/>
          <w:lang w:val="pl-PL"/>
        </w:rPr>
        <w:t>coreboard</w:t>
      </w:r>
      <w:proofErr w:type="spellEnd"/>
      <w:r w:rsidR="00770391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705A4" w:rsidRPr="00CD2157">
        <w:rPr>
          <w:rFonts w:ascii="Times New Roman" w:hAnsi="Times New Roman" w:cs="Times New Roman"/>
          <w:sz w:val="24"/>
          <w:szCs w:val="24"/>
          <w:lang w:val="pl-PL"/>
        </w:rPr>
        <w:t>nakazują zachować ostrożność w ocenianiu efektów funduszy unijnych na szeroko pojętą innowacyjność polskiej gospodarki. W 2016 roku główny wskaźnik innowacyjności</w:t>
      </w:r>
      <w:r w:rsidR="0008179E">
        <w:rPr>
          <w:rFonts w:ascii="Times New Roman" w:hAnsi="Times New Roman" w:cs="Times New Roman"/>
          <w:sz w:val="24"/>
          <w:szCs w:val="24"/>
          <w:lang w:val="pl-PL"/>
        </w:rPr>
        <w:t xml:space="preserve"> dla Polski</w:t>
      </w:r>
      <w:r w:rsidR="002705A4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był jedynie o 2 punkty wyższy niż w 2010 roku (wzrost z 53 do 55</w:t>
      </w:r>
      <w:r w:rsidR="0008179E">
        <w:rPr>
          <w:rFonts w:ascii="Times New Roman" w:hAnsi="Times New Roman" w:cs="Times New Roman"/>
          <w:sz w:val="24"/>
          <w:szCs w:val="24"/>
          <w:lang w:val="pl-PL"/>
        </w:rPr>
        <w:t xml:space="preserve"> punktów</w:t>
      </w:r>
      <w:r w:rsidR="002705A4" w:rsidRPr="00CD2157">
        <w:rPr>
          <w:rFonts w:ascii="Times New Roman" w:hAnsi="Times New Roman" w:cs="Times New Roman"/>
          <w:sz w:val="24"/>
          <w:szCs w:val="24"/>
          <w:lang w:val="pl-PL"/>
        </w:rPr>
        <w:t>), a w wielu z kluczowy</w:t>
      </w:r>
      <w:r w:rsidR="00B479A0" w:rsidRPr="00CD2157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2705A4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podkategorii nastąpił znaczny regres</w:t>
      </w:r>
      <w:r w:rsidR="002705A4" w:rsidRPr="00CD2157"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id="7"/>
      </w:r>
      <w:r w:rsidR="006D1D1A" w:rsidRPr="00CD2157">
        <w:rPr>
          <w:rFonts w:ascii="Times New Roman" w:hAnsi="Times New Roman" w:cs="Times New Roman"/>
          <w:sz w:val="24"/>
          <w:szCs w:val="24"/>
          <w:lang w:val="pl-PL"/>
        </w:rPr>
        <w:t>. Ogółem, w 2016 roku</w:t>
      </w:r>
      <w:r w:rsidR="00B479A0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Polska znalazła się na 6 miejscu od końca</w:t>
      </w:r>
      <w:r w:rsidR="006D1D1A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a </w:t>
      </w:r>
      <w:r w:rsidR="00B479A0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luka pomiędzy </w:t>
      </w:r>
      <w:r w:rsidR="006D1D1A" w:rsidRPr="00CD2157">
        <w:rPr>
          <w:rFonts w:ascii="Times New Roman" w:hAnsi="Times New Roman" w:cs="Times New Roman"/>
          <w:sz w:val="24"/>
          <w:szCs w:val="24"/>
          <w:lang w:val="pl-PL"/>
        </w:rPr>
        <w:t>wynikiem Polski</w:t>
      </w:r>
      <w:r w:rsidR="00B479A0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a średnią dla krajów UE nie </w:t>
      </w:r>
      <w:r w:rsidR="006D1D1A" w:rsidRPr="00CD2157">
        <w:rPr>
          <w:rFonts w:ascii="Times New Roman" w:hAnsi="Times New Roman" w:cs="Times New Roman"/>
          <w:sz w:val="24"/>
          <w:szCs w:val="24"/>
          <w:lang w:val="pl-PL"/>
        </w:rPr>
        <w:t>zmniejszyła</w:t>
      </w:r>
      <w:r w:rsidR="00B479A0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 w:rsidR="006D1D1A" w:rsidRPr="00CD2157">
        <w:rPr>
          <w:rFonts w:ascii="Times New Roman" w:hAnsi="Times New Roman" w:cs="Times New Roman"/>
          <w:sz w:val="24"/>
          <w:szCs w:val="24"/>
          <w:lang w:val="pl-PL"/>
        </w:rPr>
        <w:t>od 2010 roku i wciąż wynosi 47,2</w:t>
      </w:r>
      <w:r w:rsidR="00B479A0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9F69E6">
        <w:rPr>
          <w:rFonts w:ascii="Times New Roman" w:hAnsi="Times New Roman" w:cs="Times New Roman"/>
          <w:sz w:val="24"/>
          <w:szCs w:val="24"/>
          <w:lang w:val="pl-PL"/>
        </w:rPr>
        <w:t>Komisja Europejska 2017</w:t>
      </w:r>
      <w:r w:rsidR="001E429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479A0" w:rsidRPr="00CD2157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6D1D1A" w:rsidRPr="00CD215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479A0" w:rsidRPr="00CD215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6D1D1A" w:rsidRDefault="006D1D1A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9F69E6" w:rsidRDefault="009F69E6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6D1D1A" w:rsidRDefault="006D1D1A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6D1D1A" w:rsidRDefault="006D1D1A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03294A" w:rsidRPr="009F69E6" w:rsidRDefault="0003294A" w:rsidP="0003294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F69E6">
        <w:rPr>
          <w:rFonts w:ascii="Times New Roman" w:hAnsi="Times New Roman" w:cs="Times New Roman"/>
          <w:bCs/>
          <w:sz w:val="24"/>
          <w:szCs w:val="24"/>
          <w:lang w:val="pl-PL"/>
        </w:rPr>
        <w:t>Wspólna Polityka Rolna</w:t>
      </w:r>
    </w:p>
    <w:p w:rsidR="0003294A" w:rsidRPr="009F69E6" w:rsidRDefault="0003294A" w:rsidP="0003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6D1D1A" w:rsidRPr="009F69E6" w:rsidRDefault="006D1D1A" w:rsidP="003D2C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F69E6">
        <w:rPr>
          <w:rFonts w:ascii="Times New Roman" w:hAnsi="Times New Roman" w:cs="Times New Roman"/>
          <w:bCs/>
          <w:sz w:val="24"/>
          <w:szCs w:val="24"/>
          <w:lang w:val="pl-PL"/>
        </w:rPr>
        <w:t>Innym, oddzielnym od unijnych funduszy strukturalnych</w:t>
      </w:r>
      <w:r w:rsidR="0008179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Funduszu Spójności</w:t>
      </w:r>
      <w:r w:rsidRPr="009F69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transferem pieniężnym jes</w:t>
      </w:r>
      <w:r w:rsidR="0008179E">
        <w:rPr>
          <w:rFonts w:ascii="Times New Roman" w:hAnsi="Times New Roman" w:cs="Times New Roman"/>
          <w:bCs/>
          <w:sz w:val="24"/>
          <w:szCs w:val="24"/>
          <w:lang w:val="pl-PL"/>
        </w:rPr>
        <w:t>t wspieranie rolnictwa przez UE</w:t>
      </w:r>
      <w:r w:rsidRPr="009F69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8179E">
        <w:rPr>
          <w:rFonts w:ascii="Times New Roman" w:hAnsi="Times New Roman" w:cs="Times New Roman"/>
          <w:bCs/>
          <w:sz w:val="24"/>
          <w:szCs w:val="24"/>
          <w:lang w:val="pl-PL"/>
        </w:rPr>
        <w:t>w</w:t>
      </w:r>
      <w:r w:rsidRPr="009F69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ramach tzw. Wspólnej Polityki Rolnej</w:t>
      </w:r>
      <w:r w:rsidR="0008179E">
        <w:rPr>
          <w:rFonts w:ascii="Times New Roman" w:hAnsi="Times New Roman" w:cs="Times New Roman"/>
          <w:bCs/>
          <w:sz w:val="24"/>
          <w:szCs w:val="24"/>
          <w:lang w:val="pl-PL"/>
        </w:rPr>
        <w:t>. Z tego tytułu w</w:t>
      </w:r>
      <w:r w:rsidR="00E0626C" w:rsidRPr="009F69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latach 2007-2013 polscy rolnicy otrzymali w sumie 23,1 mld </w:t>
      </w:r>
      <w:r w:rsidR="0008179E">
        <w:rPr>
          <w:rFonts w:ascii="Times New Roman" w:hAnsi="Times New Roman" w:cs="Times New Roman"/>
          <w:bCs/>
          <w:sz w:val="24"/>
          <w:szCs w:val="24"/>
          <w:lang w:val="pl-PL"/>
        </w:rPr>
        <w:t>EUR</w:t>
      </w:r>
      <w:r w:rsidR="00E0626C" w:rsidRPr="009F69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postaci środków na inwestycje i dopłat bezpośrednich. W obecnej perspektywie finansowej wielkość transferu dla polskiej wsi wyniesie ponad 32 mld </w:t>
      </w:r>
      <w:r w:rsidR="0008179E">
        <w:rPr>
          <w:rFonts w:ascii="Times New Roman" w:hAnsi="Times New Roman" w:cs="Times New Roman"/>
          <w:bCs/>
          <w:sz w:val="24"/>
          <w:szCs w:val="24"/>
          <w:lang w:val="pl-PL"/>
        </w:rPr>
        <w:t>EUR</w:t>
      </w:r>
      <w:r w:rsidR="009F69E6" w:rsidRPr="009F69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(Komisja Europejska 2017</w:t>
      </w:r>
      <w:r w:rsidR="001E429C">
        <w:rPr>
          <w:rFonts w:ascii="Times New Roman" w:hAnsi="Times New Roman" w:cs="Times New Roman"/>
          <w:bCs/>
          <w:sz w:val="24"/>
          <w:szCs w:val="24"/>
          <w:lang w:val="pl-PL"/>
        </w:rPr>
        <w:t>b</w:t>
      </w:r>
      <w:r w:rsidR="009F69E6" w:rsidRPr="009F69E6">
        <w:rPr>
          <w:rFonts w:ascii="Times New Roman" w:hAnsi="Times New Roman" w:cs="Times New Roman"/>
          <w:bCs/>
          <w:sz w:val="24"/>
          <w:szCs w:val="24"/>
          <w:lang w:val="pl-PL"/>
        </w:rPr>
        <w:t>)</w:t>
      </w:r>
      <w:r w:rsidR="00E0626C" w:rsidRPr="009F69E6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6D1D1A" w:rsidRPr="009F69E6" w:rsidRDefault="006D1D1A" w:rsidP="003D2C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0626C" w:rsidRPr="009F69E6" w:rsidRDefault="00E0626C" w:rsidP="003D2C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F69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Unijne dotacje dla polskiego rolnictwa doskonale ilustrują problemy z wyżej wspomnianą ekonomiczną oceną skutków integracji z UE; z jednej strony fundusze pomogły w modernizacji polskiej wsi, </w:t>
      </w:r>
      <w:r w:rsidR="009F69E6" w:rsidRPr="009F69E6">
        <w:rPr>
          <w:rFonts w:ascii="Times New Roman" w:hAnsi="Times New Roman" w:cs="Times New Roman"/>
          <w:bCs/>
          <w:sz w:val="24"/>
          <w:szCs w:val="24"/>
          <w:lang w:val="pl-PL"/>
        </w:rPr>
        <w:t>przyczyniając się do zwiększenie wartości produkcji rolnej o ok. 50% (</w:t>
      </w:r>
      <w:r w:rsidR="0008179E">
        <w:rPr>
          <w:rFonts w:ascii="Times New Roman" w:hAnsi="Times New Roman" w:cs="Times New Roman"/>
          <w:bCs/>
          <w:sz w:val="24"/>
          <w:szCs w:val="24"/>
          <w:lang w:val="pl-PL"/>
        </w:rPr>
        <w:t>Kołodziejczyk 2016</w:t>
      </w:r>
      <w:r w:rsidR="009F69E6" w:rsidRPr="009F69E6">
        <w:rPr>
          <w:rFonts w:ascii="Times New Roman" w:hAnsi="Times New Roman" w:cs="Times New Roman"/>
          <w:bCs/>
          <w:sz w:val="24"/>
          <w:szCs w:val="24"/>
          <w:lang w:val="pl-PL"/>
        </w:rPr>
        <w:t>)</w:t>
      </w:r>
      <w:r w:rsidRPr="009F69E6">
        <w:rPr>
          <w:rFonts w:ascii="Times New Roman" w:hAnsi="Times New Roman" w:cs="Times New Roman"/>
          <w:bCs/>
          <w:sz w:val="24"/>
          <w:szCs w:val="24"/>
          <w:lang w:val="pl-PL"/>
        </w:rPr>
        <w:t>. Z drugiej strony, fundusze UE (razem z krajowym systemem ulg i dopłat dla rolników) utrzymują przerost zatrudnienia w tym sektorze (ok. 12% wszystkich zatrudnionych w porównaniu do ok. 2% w krajach Europy Zachodniej) i powstrzymują proces przepływu osób z rolnictwa do bardziej produktywnych gałęzi gospodarki, na przykład usług</w:t>
      </w:r>
      <w:r w:rsidRPr="009F69E6">
        <w:rPr>
          <w:rStyle w:val="Odwoanieprzypisudolnego"/>
          <w:rFonts w:ascii="Times New Roman" w:hAnsi="Times New Roman" w:cs="Times New Roman"/>
          <w:bCs/>
          <w:sz w:val="24"/>
          <w:szCs w:val="24"/>
          <w:lang w:val="pl-PL"/>
        </w:rPr>
        <w:footnoteReference w:id="8"/>
      </w:r>
      <w:r w:rsidRPr="009F69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="0003294A" w:rsidRPr="009F69E6">
        <w:rPr>
          <w:rFonts w:ascii="Times New Roman" w:hAnsi="Times New Roman" w:cs="Times New Roman"/>
          <w:bCs/>
          <w:sz w:val="24"/>
          <w:szCs w:val="24"/>
          <w:lang w:val="pl-PL"/>
        </w:rPr>
        <w:t>W tym wypadku długoterminowe zaburzenia w strukturze rynkowej i strukturze zatrudnienia mogą okazać się bardziej kosztowne niż korzyści z subsydiów</w:t>
      </w:r>
      <w:r w:rsidR="00061469" w:rsidRPr="009F69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(Łaszek, 2015)</w:t>
      </w:r>
      <w:r w:rsidR="0003294A" w:rsidRPr="009F69E6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6D1D1A" w:rsidRDefault="006D1D1A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D87034" w:rsidRDefault="00D87034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DC331D" w:rsidRDefault="00DC331D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DC331D" w:rsidRDefault="00DC331D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DC331D" w:rsidRDefault="00DC331D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DC331D" w:rsidRDefault="00DC331D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DC331D" w:rsidRDefault="00DC331D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6D1D1A" w:rsidRDefault="0003294A" w:rsidP="000329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8F2A6E">
        <w:rPr>
          <w:rFonts w:ascii="Times New Roman" w:hAnsi="Times New Roman" w:cs="Times New Roman"/>
          <w:b/>
          <w:bCs/>
          <w:lang w:val="pl-PL"/>
        </w:rPr>
        <w:lastRenderedPageBreak/>
        <w:t xml:space="preserve">Czynniki </w:t>
      </w:r>
      <w:r w:rsidR="00807D0D" w:rsidRPr="008F2A6E">
        <w:rPr>
          <w:rFonts w:ascii="Times New Roman" w:hAnsi="Times New Roman" w:cs="Times New Roman"/>
          <w:b/>
          <w:bCs/>
          <w:lang w:val="pl-PL"/>
        </w:rPr>
        <w:t>polityczno-instytucjonalne</w:t>
      </w:r>
    </w:p>
    <w:p w:rsidR="00D87034" w:rsidRPr="008F2A6E" w:rsidRDefault="00D87034" w:rsidP="00D870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:rsidR="0003294A" w:rsidRDefault="0003294A" w:rsidP="0003294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807D0D" w:rsidRDefault="009F69E6" w:rsidP="008F2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8F2A6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Jednym z kluczowych czynników które możemy wyróżnić w tej kategorii jest stopniowa </w:t>
      </w:r>
      <w:r w:rsidR="003D2C7B" w:rsidRPr="008F2A6E">
        <w:rPr>
          <w:rFonts w:ascii="Times New Roman" w:hAnsi="Times New Roman" w:cs="Times New Roman"/>
          <w:bCs/>
          <w:sz w:val="24"/>
          <w:szCs w:val="24"/>
          <w:lang w:val="pl-PL"/>
        </w:rPr>
        <w:t>„konwergencja instytucjonalna” Polski do standar</w:t>
      </w:r>
      <w:r w:rsidR="00FF250D" w:rsidRPr="008F2A6E">
        <w:rPr>
          <w:rFonts w:ascii="Times New Roman" w:hAnsi="Times New Roman" w:cs="Times New Roman"/>
          <w:bCs/>
          <w:sz w:val="24"/>
          <w:szCs w:val="24"/>
          <w:lang w:val="pl-PL"/>
        </w:rPr>
        <w:t>dów zachodnich i związane z nią</w:t>
      </w:r>
      <w:r w:rsidR="003D2C7B" w:rsidRPr="008F2A6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8F2A6E" w:rsidRPr="008F2A6E">
        <w:rPr>
          <w:rFonts w:ascii="Times New Roman" w:hAnsi="Times New Roman" w:cs="Times New Roman"/>
          <w:bCs/>
          <w:sz w:val="24"/>
          <w:szCs w:val="24"/>
          <w:lang w:val="pl-PL"/>
        </w:rPr>
        <w:t>zwiększenie wiarygodności</w:t>
      </w:r>
      <w:r w:rsidR="003D2C7B" w:rsidRPr="008F2A6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polski, tak w oczach agencji ratingowych, jak i inwestorów – co pokazuje spadek długoterminowej stopy procentowej w latach poprzedzających </w:t>
      </w:r>
      <w:r w:rsidR="00D8703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akcesję </w:t>
      </w:r>
      <w:r w:rsidR="003D2C7B" w:rsidRPr="008F2A6E">
        <w:rPr>
          <w:rFonts w:ascii="Times New Roman" w:hAnsi="Times New Roman" w:cs="Times New Roman"/>
          <w:bCs/>
          <w:sz w:val="24"/>
          <w:szCs w:val="24"/>
          <w:lang w:val="pl-PL"/>
        </w:rPr>
        <w:t>(</w:t>
      </w:r>
      <w:r w:rsidR="0008179E">
        <w:rPr>
          <w:rFonts w:ascii="Times New Roman" w:hAnsi="Times New Roman" w:cs="Times New Roman"/>
          <w:bCs/>
          <w:sz w:val="24"/>
          <w:szCs w:val="24"/>
          <w:lang w:val="pl-PL"/>
        </w:rPr>
        <w:t>W</w:t>
      </w:r>
      <w:r w:rsidR="003D2C7B" w:rsidRPr="008F2A6E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ykres </w:t>
      </w:r>
      <w:r w:rsidR="0008179E">
        <w:rPr>
          <w:rFonts w:ascii="Times New Roman" w:hAnsi="Times New Roman" w:cs="Times New Roman"/>
          <w:bCs/>
          <w:i/>
          <w:sz w:val="24"/>
          <w:szCs w:val="24"/>
          <w:lang w:val="pl-PL"/>
        </w:rPr>
        <w:t>8</w:t>
      </w:r>
      <w:r w:rsidR="003D2C7B" w:rsidRPr="008F2A6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). </w:t>
      </w:r>
      <w:r w:rsidR="003163F3" w:rsidRPr="00E27625">
        <w:rPr>
          <w:rFonts w:ascii="Times New Roman" w:hAnsi="Times New Roman" w:cs="Times New Roman"/>
          <w:sz w:val="24"/>
          <w:szCs w:val="24"/>
          <w:lang w:val="pl-PL"/>
        </w:rPr>
        <w:t xml:space="preserve">Nie bez znaczenia pozostał również proces </w:t>
      </w:r>
      <w:r w:rsidR="0008179E">
        <w:rPr>
          <w:rFonts w:ascii="Times New Roman" w:hAnsi="Times New Roman" w:cs="Times New Roman"/>
          <w:sz w:val="24"/>
          <w:szCs w:val="24"/>
          <w:lang w:val="pl-PL"/>
        </w:rPr>
        <w:t xml:space="preserve">dynamicznego </w:t>
      </w:r>
      <w:r w:rsidR="003163F3" w:rsidRPr="00E27625">
        <w:rPr>
          <w:rFonts w:ascii="Times New Roman" w:hAnsi="Times New Roman" w:cs="Times New Roman"/>
          <w:sz w:val="24"/>
          <w:szCs w:val="24"/>
          <w:lang w:val="pl-PL"/>
        </w:rPr>
        <w:t xml:space="preserve">dostosowywania </w:t>
      </w:r>
      <w:r w:rsidR="0008179E">
        <w:rPr>
          <w:rFonts w:ascii="Times New Roman" w:hAnsi="Times New Roman" w:cs="Times New Roman"/>
          <w:sz w:val="24"/>
          <w:szCs w:val="24"/>
          <w:lang w:val="pl-PL"/>
        </w:rPr>
        <w:t xml:space="preserve">polskich </w:t>
      </w:r>
      <w:r w:rsidR="003163F3" w:rsidRPr="00E27625">
        <w:rPr>
          <w:rFonts w:ascii="Times New Roman" w:hAnsi="Times New Roman" w:cs="Times New Roman"/>
          <w:sz w:val="24"/>
          <w:szCs w:val="24"/>
          <w:lang w:val="pl-PL"/>
        </w:rPr>
        <w:t xml:space="preserve">instytucji gospodarczych do wymogów unijnych (Lehmann 2012, </w:t>
      </w:r>
      <w:proofErr w:type="spellStart"/>
      <w:r w:rsidR="003163F3" w:rsidRPr="00E27625">
        <w:rPr>
          <w:rFonts w:ascii="Times New Roman" w:hAnsi="Times New Roman" w:cs="Times New Roman"/>
          <w:sz w:val="24"/>
          <w:szCs w:val="24"/>
          <w:lang w:val="pl-PL"/>
        </w:rPr>
        <w:t>Hartwell</w:t>
      </w:r>
      <w:proofErr w:type="spellEnd"/>
      <w:r w:rsidR="003163F3" w:rsidRPr="00E27625">
        <w:rPr>
          <w:rFonts w:ascii="Times New Roman" w:hAnsi="Times New Roman" w:cs="Times New Roman"/>
          <w:sz w:val="24"/>
          <w:szCs w:val="24"/>
          <w:lang w:val="pl-PL"/>
        </w:rPr>
        <w:t xml:space="preserve"> 2016).</w:t>
      </w:r>
    </w:p>
    <w:p w:rsidR="001A3E23" w:rsidRDefault="001A3E23" w:rsidP="008F2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D87034" w:rsidRDefault="00D87034" w:rsidP="008F2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1A3E23" w:rsidRPr="001A3E23" w:rsidRDefault="001A3E23" w:rsidP="001A3E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  <w:r w:rsidRPr="001A3E23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Wykres </w:t>
      </w:r>
      <w:r w:rsidR="0008179E">
        <w:rPr>
          <w:rFonts w:ascii="Times New Roman" w:hAnsi="Times New Roman" w:cs="Times New Roman"/>
          <w:bCs/>
          <w:i/>
          <w:sz w:val="24"/>
          <w:szCs w:val="24"/>
          <w:lang w:val="pl-PL"/>
        </w:rPr>
        <w:t>8</w:t>
      </w:r>
      <w:r w:rsidRPr="001A3E23">
        <w:rPr>
          <w:rFonts w:ascii="Times New Roman" w:hAnsi="Times New Roman" w:cs="Times New Roman"/>
          <w:bCs/>
          <w:i/>
          <w:sz w:val="24"/>
          <w:szCs w:val="24"/>
          <w:lang w:val="pl-PL"/>
        </w:rPr>
        <w:t>. Rentowność dziesięcioletnich obligacji</w:t>
      </w:r>
      <w:r w:rsidR="00D87034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polskich w latach 2002-2016 (proc.).</w:t>
      </w:r>
    </w:p>
    <w:p w:rsidR="008F2A6E" w:rsidRDefault="00552084" w:rsidP="00D870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792273F2" wp14:editId="39C70067">
            <wp:extent cx="3348841" cy="2968831"/>
            <wp:effectExtent l="0" t="0" r="4445" b="3175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F57D3154-E7EA-42A3-AD7E-FE71F71B4A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7034" w:rsidRPr="00D87034" w:rsidRDefault="00D87034" w:rsidP="00D870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  <w:r w:rsidRPr="00D87034">
        <w:rPr>
          <w:rFonts w:ascii="Times New Roman" w:hAnsi="Times New Roman" w:cs="Times New Roman"/>
          <w:bCs/>
          <w:i/>
          <w:sz w:val="24"/>
          <w:szCs w:val="24"/>
          <w:lang w:val="pl-PL"/>
        </w:rPr>
        <w:t>źródło: OECD</w:t>
      </w:r>
    </w:p>
    <w:p w:rsidR="008F2A6E" w:rsidRDefault="008F2A6E" w:rsidP="008F2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D87034" w:rsidRDefault="00D87034" w:rsidP="008F2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F250D" w:rsidRDefault="003D2C7B" w:rsidP="008F2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8F2A6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Co więcej, </w:t>
      </w:r>
      <w:r w:rsidR="00FF250D" w:rsidRPr="008F2A6E">
        <w:rPr>
          <w:rFonts w:ascii="Times New Roman" w:hAnsi="Times New Roman" w:cs="Times New Roman"/>
          <w:bCs/>
          <w:sz w:val="24"/>
          <w:szCs w:val="24"/>
          <w:lang w:val="pl-PL"/>
        </w:rPr>
        <w:t>proces dostosowywania polskiego prawa do norm europejskich wywarł</w:t>
      </w:r>
      <w:r w:rsidRPr="008F2A6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znaczny wpływ </w:t>
      </w:r>
      <w:r w:rsidR="008F2A6E" w:rsidRPr="008F2A6E">
        <w:rPr>
          <w:rFonts w:ascii="Times New Roman" w:hAnsi="Times New Roman" w:cs="Times New Roman"/>
          <w:bCs/>
          <w:sz w:val="24"/>
          <w:szCs w:val="24"/>
          <w:lang w:val="pl-PL"/>
        </w:rPr>
        <w:t>kwestie</w:t>
      </w:r>
      <w:r w:rsidR="00D02604" w:rsidRPr="008F2A6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ochrony konkurencji</w:t>
      </w:r>
      <w:r w:rsidR="00FF250D" w:rsidRPr="008F2A6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ograniczenia pomocy publicznej</w:t>
      </w:r>
      <w:r w:rsidR="008F2A6E" w:rsidRPr="008F2A6E">
        <w:rPr>
          <w:rFonts w:ascii="Times New Roman" w:hAnsi="Times New Roman" w:cs="Times New Roman"/>
          <w:bCs/>
          <w:sz w:val="24"/>
          <w:szCs w:val="24"/>
          <w:lang w:val="pl-PL"/>
        </w:rPr>
        <w:t>, zwłaszcza w kontekście branży telekomunikacyjnej, elektrycznej</w:t>
      </w:r>
      <w:r w:rsidR="00FF250D" w:rsidRPr="008F2A6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(Banasiński &amp; Fornalczyk 2003</w:t>
      </w:r>
      <w:r w:rsidR="008F2A6E" w:rsidRPr="008F2A6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) i stoczniowej. Postęp w tej dziedzinie podsumowuje jeden z tzw. „wskaźników transformacji” (ang. </w:t>
      </w:r>
      <w:proofErr w:type="spellStart"/>
      <w:r w:rsidR="008F2A6E" w:rsidRPr="008F2A6E">
        <w:rPr>
          <w:rFonts w:ascii="Times New Roman" w:hAnsi="Times New Roman" w:cs="Times New Roman"/>
          <w:bCs/>
          <w:i/>
          <w:sz w:val="24"/>
          <w:szCs w:val="24"/>
          <w:lang w:val="pl-PL"/>
        </w:rPr>
        <w:t>transition</w:t>
      </w:r>
      <w:proofErr w:type="spellEnd"/>
      <w:r w:rsidR="008F2A6E" w:rsidRPr="008F2A6E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</w:t>
      </w:r>
      <w:proofErr w:type="spellStart"/>
      <w:r w:rsidR="008F2A6E" w:rsidRPr="008F2A6E">
        <w:rPr>
          <w:rFonts w:ascii="Times New Roman" w:hAnsi="Times New Roman" w:cs="Times New Roman"/>
          <w:bCs/>
          <w:i/>
          <w:sz w:val="24"/>
          <w:szCs w:val="24"/>
          <w:lang w:val="pl-PL"/>
        </w:rPr>
        <w:t>indicator</w:t>
      </w:r>
      <w:proofErr w:type="spellEnd"/>
      <w:r w:rsidR="008F2A6E" w:rsidRPr="008F2A6E">
        <w:rPr>
          <w:rFonts w:ascii="Times New Roman" w:hAnsi="Times New Roman" w:cs="Times New Roman"/>
          <w:bCs/>
          <w:sz w:val="24"/>
          <w:szCs w:val="24"/>
          <w:lang w:val="pl-PL"/>
        </w:rPr>
        <w:t>) publikowanych przez Europejski Bank Odbudowy i Rozwoju (</w:t>
      </w:r>
      <w:r w:rsidR="0008179E">
        <w:rPr>
          <w:rFonts w:ascii="Times New Roman" w:hAnsi="Times New Roman" w:cs="Times New Roman"/>
          <w:bCs/>
          <w:i/>
          <w:sz w:val="24"/>
          <w:szCs w:val="24"/>
          <w:lang w:val="pl-PL"/>
        </w:rPr>
        <w:t>T</w:t>
      </w:r>
      <w:r w:rsidR="008F2A6E" w:rsidRPr="008F2A6E">
        <w:rPr>
          <w:rFonts w:ascii="Times New Roman" w:hAnsi="Times New Roman" w:cs="Times New Roman"/>
          <w:bCs/>
          <w:i/>
          <w:sz w:val="24"/>
          <w:szCs w:val="24"/>
          <w:lang w:val="pl-PL"/>
        </w:rPr>
        <w:t>abela 1</w:t>
      </w:r>
      <w:r w:rsidR="008F2A6E" w:rsidRPr="008F2A6E">
        <w:rPr>
          <w:rFonts w:ascii="Times New Roman" w:hAnsi="Times New Roman" w:cs="Times New Roman"/>
          <w:bCs/>
          <w:sz w:val="24"/>
          <w:szCs w:val="24"/>
          <w:lang w:val="pl-PL"/>
        </w:rPr>
        <w:t>).</w:t>
      </w:r>
    </w:p>
    <w:p w:rsidR="00D87034" w:rsidRDefault="00D87034" w:rsidP="008F2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D87034" w:rsidRDefault="00D87034" w:rsidP="008F2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D87034" w:rsidRDefault="00D87034" w:rsidP="008F2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F250D" w:rsidRDefault="008F2A6E" w:rsidP="008F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lang w:val="pl-PL"/>
        </w:rPr>
      </w:pPr>
      <w:r w:rsidRPr="008F2A6E">
        <w:rPr>
          <w:rFonts w:ascii="Times New Roman" w:hAnsi="Times New Roman" w:cs="Times New Roman"/>
          <w:bCs/>
          <w:i/>
          <w:lang w:val="pl-PL"/>
        </w:rPr>
        <w:lastRenderedPageBreak/>
        <w:t>Tabela 1. Wartości wskaźników transformacji dla Polski w latach 1989-2014.</w:t>
      </w:r>
    </w:p>
    <w:p w:rsidR="008F2A6E" w:rsidRPr="008F2A6E" w:rsidRDefault="008F2A6E" w:rsidP="008F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lang w:val="pl-PL"/>
        </w:rPr>
      </w:pPr>
    </w:p>
    <w:tbl>
      <w:tblPr>
        <w:tblW w:w="5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</w:tblGrid>
      <w:tr w:rsidR="008F2A6E" w:rsidRPr="008F2A6E" w:rsidTr="008F2A6E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1994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171717" w:themeColor="background2" w:themeShade="1A"/>
                <w:sz w:val="20"/>
                <w:szCs w:val="20"/>
              </w:rPr>
              <w:t>2014</w:t>
            </w:r>
          </w:p>
        </w:tc>
      </w:tr>
      <w:tr w:rsidR="00FF250D" w:rsidRPr="008F2A6E" w:rsidTr="008F2A6E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F250D" w:rsidRPr="008F2A6E" w:rsidRDefault="00FF2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Large scale </w:t>
            </w:r>
            <w:proofErr w:type="spellStart"/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privatisation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FF250D" w:rsidRPr="008F2A6E" w:rsidTr="008F2A6E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F250D" w:rsidRPr="008F2A6E" w:rsidRDefault="00FF2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Small scale </w:t>
            </w:r>
            <w:proofErr w:type="spellStart"/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privatisation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FF250D" w:rsidRPr="008F2A6E" w:rsidTr="008F2A6E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F250D" w:rsidRPr="008F2A6E" w:rsidRDefault="00FF2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Governance and enterprise restructuring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FF250D" w:rsidRPr="008F2A6E" w:rsidTr="008F2A6E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F250D" w:rsidRPr="008F2A6E" w:rsidRDefault="00FF2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Price </w:t>
            </w:r>
            <w:proofErr w:type="spellStart"/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liberalisation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FF250D" w:rsidRPr="008F2A6E" w:rsidTr="008F2A6E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F250D" w:rsidRPr="008F2A6E" w:rsidRDefault="00FF25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Trade &amp; Forex system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FF250D" w:rsidRPr="008F2A6E" w:rsidTr="008F2A6E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F250D" w:rsidRPr="008F2A6E" w:rsidRDefault="00FF25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Competition Policy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F250D" w:rsidRPr="008F2A6E" w:rsidRDefault="00FF250D" w:rsidP="008F2A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2A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</w:tr>
    </w:tbl>
    <w:p w:rsidR="00FF250D" w:rsidRPr="008F2A6E" w:rsidRDefault="008F2A6E" w:rsidP="008F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lang w:val="pl-PL"/>
        </w:rPr>
      </w:pPr>
      <w:r w:rsidRPr="008F2A6E">
        <w:rPr>
          <w:rFonts w:ascii="Times New Roman" w:hAnsi="Times New Roman" w:cs="Times New Roman"/>
          <w:bCs/>
          <w:i/>
          <w:lang w:val="pl-PL"/>
        </w:rPr>
        <w:t>Źródło: EBRD.</w:t>
      </w:r>
    </w:p>
    <w:p w:rsidR="008F2A6E" w:rsidRDefault="008F2A6E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lang w:val="pl-PL"/>
        </w:rPr>
      </w:pPr>
    </w:p>
    <w:p w:rsidR="008F2A6E" w:rsidRDefault="008F2A6E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lang w:val="pl-PL"/>
        </w:rPr>
      </w:pPr>
    </w:p>
    <w:p w:rsidR="00D87034" w:rsidRPr="00D87034" w:rsidRDefault="001A3E23" w:rsidP="00D870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D8703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 innych czynników polityczno-instytucjonalnych możemy zaliczyć </w:t>
      </w:r>
      <w:r w:rsidR="00552084" w:rsidRPr="00D87034">
        <w:rPr>
          <w:rFonts w:ascii="Times New Roman" w:hAnsi="Times New Roman" w:cs="Times New Roman"/>
          <w:bCs/>
          <w:sz w:val="24"/>
          <w:szCs w:val="24"/>
          <w:lang w:val="pl-PL"/>
        </w:rPr>
        <w:t>możliwość wpływania Polski i jej reprezentantów na kształt przyszłej integracji europejskiej</w:t>
      </w:r>
      <w:r w:rsidR="00D8703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czy</w:t>
      </w:r>
      <w:r w:rsidR="00552084" w:rsidRPr="00D8703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D8703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zwiększoną siłę negocjacyjną Polski w negocjacjach kontraktów z </w:t>
      </w:r>
      <w:r w:rsidR="00552084" w:rsidRPr="00D87034">
        <w:rPr>
          <w:rFonts w:ascii="Times New Roman" w:hAnsi="Times New Roman" w:cs="Times New Roman"/>
          <w:bCs/>
          <w:sz w:val="24"/>
          <w:szCs w:val="24"/>
          <w:lang w:val="pl-PL"/>
        </w:rPr>
        <w:t>zagranicznymi partnerami (</w:t>
      </w:r>
      <w:r w:rsidR="00552084" w:rsidRPr="00D87034">
        <w:rPr>
          <w:rFonts w:ascii="Times New Roman" w:hAnsi="Times New Roman" w:cs="Times New Roman"/>
          <w:bCs/>
          <w:i/>
          <w:sz w:val="24"/>
          <w:szCs w:val="24"/>
          <w:lang w:val="pl-PL"/>
        </w:rPr>
        <w:t>vide</w:t>
      </w:r>
      <w:r w:rsidR="00552084" w:rsidRPr="00D8703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negocjacje zakupu gazu z Rosją)</w:t>
      </w:r>
      <w:r w:rsidR="00D87034" w:rsidRPr="00D8703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Ponadto, </w:t>
      </w:r>
      <w:proofErr w:type="spellStart"/>
      <w:r w:rsidR="00D87034" w:rsidRPr="00D87034">
        <w:rPr>
          <w:rFonts w:ascii="Times New Roman" w:hAnsi="Times New Roman" w:cs="Times New Roman"/>
          <w:bCs/>
          <w:sz w:val="24"/>
          <w:szCs w:val="24"/>
          <w:lang w:val="pl-PL"/>
        </w:rPr>
        <w:t>Nagaj</w:t>
      </w:r>
      <w:proofErr w:type="spellEnd"/>
      <w:r w:rsidR="00D87034" w:rsidRPr="00D8703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(2012) zwraca uwagę na korzystny wpływ tzw. procedury nadmiernego deficytu na stan polskich finansów publicznych. </w:t>
      </w:r>
    </w:p>
    <w:p w:rsidR="008F2A6E" w:rsidRDefault="008F2A6E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552084" w:rsidRDefault="0055208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87034" w:rsidRDefault="00D8703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87034" w:rsidRDefault="00D8703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87034" w:rsidRDefault="00D8703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87034" w:rsidRDefault="00D8703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87034" w:rsidRDefault="00D8703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87034" w:rsidRDefault="00D8703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87034" w:rsidRDefault="00D8703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87034" w:rsidRDefault="00D8703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87034" w:rsidRDefault="00D8703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87034" w:rsidRDefault="00D8703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87034" w:rsidRDefault="00D8703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87034" w:rsidRDefault="00D8703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C331D" w:rsidRDefault="00DC331D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C331D" w:rsidRDefault="00DC331D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D87034" w:rsidRDefault="00D8703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552084" w:rsidRPr="00552084" w:rsidRDefault="00552084" w:rsidP="00552084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Cs/>
          <w:lang w:val="pl-PL"/>
        </w:rPr>
      </w:pPr>
    </w:p>
    <w:p w:rsidR="00096696" w:rsidRDefault="00096696" w:rsidP="008F2A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87034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Podsumowanie</w:t>
      </w:r>
    </w:p>
    <w:p w:rsidR="0008179E" w:rsidRPr="00D87034" w:rsidRDefault="0008179E" w:rsidP="000817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3294A" w:rsidRDefault="0003294A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5E01A6" w:rsidRDefault="005E01A6" w:rsidP="0003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Wpływ członkostwa Polski w UE</w:t>
      </w:r>
      <w:r w:rsidR="00D02604" w:rsidRPr="000366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jest wielowymiarow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y</w:t>
      </w:r>
      <w:r w:rsidR="00D02604" w:rsidRPr="000366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dotyka </w:t>
      </w:r>
      <w:r w:rsidR="00F7009C" w:rsidRPr="000366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wielu aspektów polskiej rzeczywistości gospodarczej.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Nie ulega jednak wątpliwości, że dostęp do wspólnego rynku i czterech swobód przyczynił się do znacznego zwiększenia wymiany handlowej i warto</w:t>
      </w:r>
      <w:r w:rsidR="004C79CE">
        <w:rPr>
          <w:rFonts w:ascii="Times New Roman" w:hAnsi="Times New Roman" w:cs="Times New Roman"/>
          <w:bCs/>
          <w:sz w:val="24"/>
          <w:szCs w:val="24"/>
          <w:lang w:val="pl-PL"/>
        </w:rPr>
        <w:t>ści BIZ w Polsce, co doprowadziło do unowocześnienia polskiej gospodarki i przyspieszenia procesu konwergencji.</w:t>
      </w:r>
    </w:p>
    <w:p w:rsidR="004C79CE" w:rsidRDefault="00F7009C" w:rsidP="0003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6631">
        <w:rPr>
          <w:rFonts w:ascii="Times New Roman" w:hAnsi="Times New Roman" w:cs="Times New Roman"/>
          <w:bCs/>
          <w:sz w:val="24"/>
          <w:szCs w:val="24"/>
          <w:lang w:val="pl-PL"/>
        </w:rPr>
        <w:br/>
        <w:t xml:space="preserve">Warto jednak </w:t>
      </w:r>
      <w:r w:rsidR="004C79CE">
        <w:rPr>
          <w:rFonts w:ascii="Times New Roman" w:hAnsi="Times New Roman" w:cs="Times New Roman"/>
          <w:bCs/>
          <w:sz w:val="24"/>
          <w:szCs w:val="24"/>
          <w:lang w:val="pl-PL"/>
        </w:rPr>
        <w:t>zwrócić uwagę na dwa dodatkowe aspekty.</w:t>
      </w:r>
      <w:r w:rsidRPr="000366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4C79CE">
        <w:rPr>
          <w:rFonts w:ascii="Times New Roman" w:hAnsi="Times New Roman" w:cs="Times New Roman"/>
          <w:bCs/>
          <w:sz w:val="24"/>
          <w:szCs w:val="24"/>
          <w:lang w:val="pl-PL"/>
        </w:rPr>
        <w:t>P</w:t>
      </w:r>
      <w:r w:rsidRPr="00036631">
        <w:rPr>
          <w:rFonts w:ascii="Times New Roman" w:hAnsi="Times New Roman" w:cs="Times New Roman"/>
          <w:bCs/>
          <w:sz w:val="24"/>
          <w:szCs w:val="24"/>
          <w:lang w:val="pl-PL"/>
        </w:rPr>
        <w:t>o pierwsze, nie w</w:t>
      </w:r>
      <w:r w:rsidR="00036631" w:rsidRPr="00036631">
        <w:rPr>
          <w:rFonts w:ascii="Times New Roman" w:hAnsi="Times New Roman" w:cs="Times New Roman"/>
          <w:bCs/>
          <w:sz w:val="24"/>
          <w:szCs w:val="24"/>
          <w:lang w:val="pl-PL"/>
        </w:rPr>
        <w:t>szystkie czynniki jednakowo korzystnie wpływają na polską gospodarkę (</w:t>
      </w:r>
      <w:r w:rsidR="004C79C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chociażby </w:t>
      </w:r>
      <w:r w:rsidR="00036631" w:rsidRPr="000366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uczestnictwo we Wspólnej Polityce Rolnej). </w:t>
      </w:r>
      <w:r w:rsidR="004C79C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 drugie – polityka gospodarcza UE </w:t>
      </w:r>
      <w:r w:rsidR="0061722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nieustannie </w:t>
      </w:r>
      <w:r w:rsidR="004C79CE">
        <w:rPr>
          <w:rFonts w:ascii="Times New Roman" w:hAnsi="Times New Roman" w:cs="Times New Roman"/>
          <w:bCs/>
          <w:sz w:val="24"/>
          <w:szCs w:val="24"/>
          <w:lang w:val="pl-PL"/>
        </w:rPr>
        <w:t>ewoluuje i to, co jest faktem teraz (np. napływ dużej ilości funduszy unijnych), niekoniecznie będzie kontynuowane w przyszłości.</w:t>
      </w:r>
    </w:p>
    <w:p w:rsidR="004C79CE" w:rsidRDefault="004C79CE" w:rsidP="0003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D02604" w:rsidRPr="00036631" w:rsidRDefault="004C79CE" w:rsidP="00036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Każe nam to patrzeć na relację pomiędzy UE a polską gospodarką w kategorii szansy, którą Polska do tej pory relatywnie dobrze wykorzystała. Mimo to, rozbieżne doświadczenia krajów takich jak Irlandia i Grecja udowadniają,</w:t>
      </w:r>
      <w:r w:rsidR="00873E7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że</w:t>
      </w:r>
      <w:r w:rsidR="0061722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sama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61722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integracja z UE nie stanowi gwarancji wzrostu gospodarczego </w:t>
      </w:r>
      <w:r w:rsidR="00617221">
        <w:rPr>
          <w:rFonts w:ascii="Times New Roman" w:hAnsi="Times New Roman" w:cs="Times New Roman"/>
          <w:bCs/>
          <w:sz w:val="24"/>
          <w:szCs w:val="24"/>
          <w:lang w:val="pl-PL"/>
        </w:rPr>
        <w:t>(Balcerowicz et. al. 2013)</w:t>
      </w:r>
      <w:r w:rsidR="00617221" w:rsidRPr="000366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617221">
        <w:rPr>
          <w:rFonts w:ascii="Times New Roman" w:hAnsi="Times New Roman" w:cs="Times New Roman"/>
          <w:bCs/>
          <w:sz w:val="24"/>
          <w:szCs w:val="24"/>
          <w:lang w:val="pl-PL"/>
        </w:rPr>
        <w:t>– tylko w połączeniu z odpowiednimi</w:t>
      </w:r>
      <w:r w:rsidR="00036631" w:rsidRPr="000366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reform</w:t>
      </w:r>
      <w:r w:rsidR="00617221">
        <w:rPr>
          <w:rFonts w:ascii="Times New Roman" w:hAnsi="Times New Roman" w:cs="Times New Roman"/>
          <w:bCs/>
          <w:sz w:val="24"/>
          <w:szCs w:val="24"/>
          <w:lang w:val="pl-PL"/>
        </w:rPr>
        <w:t>ami</w:t>
      </w:r>
      <w:r w:rsidR="00036631" w:rsidRPr="000366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strukturaln</w:t>
      </w:r>
      <w:r w:rsidR="00617221">
        <w:rPr>
          <w:rFonts w:ascii="Times New Roman" w:hAnsi="Times New Roman" w:cs="Times New Roman"/>
          <w:bCs/>
          <w:sz w:val="24"/>
          <w:szCs w:val="24"/>
          <w:lang w:val="pl-PL"/>
        </w:rPr>
        <w:t>ymi i odpowiedzialną</w:t>
      </w:r>
      <w:r w:rsidR="00873E7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polityką</w:t>
      </w:r>
      <w:r w:rsidR="00036631" w:rsidRPr="0003663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617221">
        <w:rPr>
          <w:rFonts w:ascii="Times New Roman" w:hAnsi="Times New Roman" w:cs="Times New Roman"/>
          <w:bCs/>
          <w:sz w:val="24"/>
          <w:szCs w:val="24"/>
          <w:lang w:val="pl-PL"/>
        </w:rPr>
        <w:t>gospodarczą</w:t>
      </w:r>
      <w:r w:rsidR="00873E70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="0061722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członkostwo Polski w UE okaże się równie korzystne w nadchodzących dekadach co w ostatnich trzynastu latach.</w:t>
      </w:r>
    </w:p>
    <w:p w:rsidR="00D02604" w:rsidRDefault="00D02604" w:rsidP="0077039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lang w:val="pl-PL"/>
        </w:rPr>
      </w:pPr>
    </w:p>
    <w:p w:rsidR="00075E25" w:rsidRDefault="00075E25" w:rsidP="00B7497E">
      <w:pPr>
        <w:rPr>
          <w:lang w:val="pl-PL"/>
        </w:rPr>
      </w:pPr>
    </w:p>
    <w:p w:rsidR="0055152B" w:rsidRDefault="0055152B" w:rsidP="00B7497E">
      <w:pPr>
        <w:rPr>
          <w:lang w:val="pl-PL"/>
        </w:rPr>
      </w:pPr>
    </w:p>
    <w:p w:rsidR="0055152B" w:rsidRDefault="0055152B" w:rsidP="00B7497E">
      <w:pPr>
        <w:rPr>
          <w:lang w:val="pl-PL"/>
        </w:rPr>
      </w:pPr>
    </w:p>
    <w:p w:rsidR="0055152B" w:rsidRDefault="0055152B" w:rsidP="00B7497E">
      <w:pPr>
        <w:rPr>
          <w:lang w:val="pl-PL"/>
        </w:rPr>
      </w:pPr>
    </w:p>
    <w:p w:rsidR="00075E25" w:rsidRDefault="00075E25" w:rsidP="00B7497E">
      <w:pPr>
        <w:rPr>
          <w:lang w:val="pl-PL"/>
        </w:rPr>
      </w:pPr>
    </w:p>
    <w:p w:rsidR="00075E25" w:rsidRDefault="00075E25" w:rsidP="00B7497E">
      <w:pPr>
        <w:rPr>
          <w:lang w:val="pl-PL"/>
        </w:rPr>
      </w:pPr>
    </w:p>
    <w:p w:rsidR="00075E25" w:rsidRDefault="00075E25" w:rsidP="00B7497E">
      <w:pPr>
        <w:rPr>
          <w:lang w:val="pl-PL"/>
        </w:rPr>
      </w:pPr>
    </w:p>
    <w:p w:rsidR="00075E25" w:rsidRDefault="00075E25" w:rsidP="00B7497E">
      <w:pPr>
        <w:rPr>
          <w:lang w:val="pl-PL"/>
        </w:rPr>
      </w:pPr>
    </w:p>
    <w:p w:rsidR="00075E25" w:rsidRDefault="00075E25" w:rsidP="00B7497E">
      <w:pPr>
        <w:rPr>
          <w:lang w:val="pl-PL"/>
        </w:rPr>
      </w:pPr>
    </w:p>
    <w:p w:rsidR="00075E25" w:rsidRDefault="00075E25" w:rsidP="00B7497E">
      <w:pPr>
        <w:rPr>
          <w:lang w:val="pl-PL"/>
        </w:rPr>
      </w:pPr>
    </w:p>
    <w:p w:rsidR="00075E25" w:rsidRDefault="00075E25" w:rsidP="00B7497E">
      <w:pPr>
        <w:rPr>
          <w:lang w:val="pl-PL"/>
        </w:rPr>
      </w:pPr>
    </w:p>
    <w:p w:rsidR="00352DEB" w:rsidRDefault="00352DEB" w:rsidP="00B7497E">
      <w:pPr>
        <w:rPr>
          <w:lang w:val="pl-PL"/>
        </w:rPr>
      </w:pPr>
    </w:p>
    <w:p w:rsidR="00F7009C" w:rsidRPr="00F7009C" w:rsidRDefault="00F7009C" w:rsidP="00F7009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7009C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Bibliografia</w:t>
      </w:r>
    </w:p>
    <w:p w:rsidR="00F7009C" w:rsidRDefault="00F7009C" w:rsidP="00B7497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75E25" w:rsidRPr="0071775A" w:rsidRDefault="00851A9F" w:rsidP="00B7497E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Acemoglu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, D.,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Jonhson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>, S. 2005</w:t>
      </w:r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Unbundling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Institutions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Journal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of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Political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Economy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. Vol. 113, no. 5:949-995. </w:t>
      </w:r>
    </w:p>
    <w:p w:rsidR="00075E25" w:rsidRDefault="00B350B4" w:rsidP="00B3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Aslund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A., 2010.</w:t>
      </w:r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The </w:t>
      </w:r>
      <w:proofErr w:type="spellStart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>Last</w:t>
      </w:r>
      <w:proofErr w:type="spellEnd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>Shall</w:t>
      </w:r>
      <w:proofErr w:type="spellEnd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Be the First: The East </w:t>
      </w:r>
      <w:proofErr w:type="spellStart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>European</w:t>
      </w:r>
      <w:proofErr w:type="spellEnd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Financial </w:t>
      </w:r>
      <w:proofErr w:type="spellStart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>Crisis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Peterson </w:t>
      </w:r>
      <w:proofErr w:type="spellStart"/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>Institute</w:t>
      </w:r>
      <w:proofErr w:type="spellEnd"/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for International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>Economics</w:t>
      </w:r>
      <w:proofErr w:type="spellEnd"/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350B4" w:rsidRPr="0071775A" w:rsidRDefault="00B350B4" w:rsidP="00B3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75E25" w:rsidRPr="0071775A" w:rsidRDefault="00BD06FF" w:rsidP="00B7497E">
      <w:pPr>
        <w:rPr>
          <w:rFonts w:ascii="Times New Roman" w:hAnsi="Times New Roman" w:cs="Times New Roman"/>
          <w:sz w:val="24"/>
          <w:szCs w:val="24"/>
        </w:rPr>
      </w:pPr>
      <w:r w:rsidRPr="0071775A">
        <w:rPr>
          <w:rFonts w:ascii="Times New Roman" w:hAnsi="Times New Roman" w:cs="Times New Roman"/>
          <w:sz w:val="24"/>
          <w:szCs w:val="24"/>
        </w:rPr>
        <w:t xml:space="preserve">Balcerowicz, L. 1995. </w:t>
      </w:r>
      <w:r w:rsidRPr="0071775A">
        <w:rPr>
          <w:rFonts w:ascii="Times New Roman" w:hAnsi="Times New Roman" w:cs="Times New Roman"/>
          <w:i/>
          <w:sz w:val="24"/>
          <w:szCs w:val="24"/>
        </w:rPr>
        <w:t>Socialism, Capitalism, Transformation</w:t>
      </w:r>
      <w:r w:rsidRPr="0071775A">
        <w:rPr>
          <w:rFonts w:ascii="Times New Roman" w:hAnsi="Times New Roman" w:cs="Times New Roman"/>
          <w:sz w:val="24"/>
          <w:szCs w:val="24"/>
        </w:rPr>
        <w:t>. Budapest: Central European University Press.</w:t>
      </w:r>
    </w:p>
    <w:p w:rsidR="00CA2A95" w:rsidRDefault="00CA2A95" w:rsidP="00B3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1775A">
        <w:rPr>
          <w:rFonts w:ascii="Times New Roman" w:hAnsi="Times New Roman" w:cs="Times New Roman"/>
          <w:sz w:val="24"/>
          <w:szCs w:val="24"/>
          <w:lang w:val="pl-PL"/>
        </w:rPr>
        <w:t>Balcerowicz, L., Rzońca, A., Kalina, L. i Łaszek, A., 2013</w:t>
      </w:r>
      <w:r w:rsidR="00B350B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Economic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Growth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in the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European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Union,</w:t>
      </w: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Lisbon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Council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350B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Brussels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E429C" w:rsidRDefault="001E429C" w:rsidP="00B3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E429C" w:rsidRPr="001E429C" w:rsidRDefault="001E429C" w:rsidP="00B3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F2A6E">
        <w:rPr>
          <w:rFonts w:ascii="Times New Roman" w:hAnsi="Times New Roman" w:cs="Times New Roman"/>
          <w:bCs/>
          <w:sz w:val="24"/>
          <w:szCs w:val="24"/>
          <w:lang w:val="pl-PL"/>
        </w:rPr>
        <w:t>Banasiński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, C.,</w:t>
      </w:r>
      <w:r w:rsidRPr="008F2A6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 Fornalczyk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, A.</w:t>
      </w:r>
      <w:r w:rsidRPr="008F2A6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2003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-PL"/>
        </w:rPr>
        <w:t>Competition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Policy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-PL"/>
        </w:rPr>
        <w:t>Poland’s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-PL"/>
        </w:rPr>
        <w:t>Membership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in the EU. [w:] </w:t>
      </w:r>
      <w:proofErr w:type="spellStart"/>
      <w:r w:rsidRPr="001E429C">
        <w:rPr>
          <w:rFonts w:ascii="Times New Roman" w:hAnsi="Times New Roman" w:cs="Times New Roman"/>
          <w:bCs/>
          <w:i/>
          <w:sz w:val="24"/>
          <w:szCs w:val="24"/>
          <w:lang w:val="pl-PL"/>
        </w:rPr>
        <w:t>Costs</w:t>
      </w:r>
      <w:proofErr w:type="spellEnd"/>
      <w:r w:rsidRPr="001E429C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and </w:t>
      </w:r>
      <w:proofErr w:type="spellStart"/>
      <w:r w:rsidRPr="001E429C">
        <w:rPr>
          <w:rFonts w:ascii="Times New Roman" w:hAnsi="Times New Roman" w:cs="Times New Roman"/>
          <w:bCs/>
          <w:i/>
          <w:sz w:val="24"/>
          <w:szCs w:val="24"/>
          <w:lang w:val="pl-PL"/>
        </w:rPr>
        <w:t>Benefits</w:t>
      </w:r>
      <w:proofErr w:type="spellEnd"/>
      <w:r w:rsidRPr="001E429C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of </w:t>
      </w:r>
      <w:proofErr w:type="spellStart"/>
      <w:r w:rsidRPr="001E429C">
        <w:rPr>
          <w:rFonts w:ascii="Times New Roman" w:hAnsi="Times New Roman" w:cs="Times New Roman"/>
          <w:bCs/>
          <w:i/>
          <w:sz w:val="24"/>
          <w:szCs w:val="24"/>
          <w:lang w:val="pl-PL"/>
        </w:rPr>
        <w:t>Poland’s</w:t>
      </w:r>
      <w:proofErr w:type="spellEnd"/>
      <w:r w:rsidRPr="001E429C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</w:t>
      </w:r>
      <w:proofErr w:type="spellStart"/>
      <w:r w:rsidRPr="001E429C">
        <w:rPr>
          <w:rFonts w:ascii="Times New Roman" w:hAnsi="Times New Roman" w:cs="Times New Roman"/>
          <w:bCs/>
          <w:i/>
          <w:sz w:val="24"/>
          <w:szCs w:val="24"/>
          <w:lang w:val="pl-PL"/>
        </w:rPr>
        <w:t>Membership</w:t>
      </w:r>
      <w:proofErr w:type="spellEnd"/>
      <w:r w:rsidRPr="001E429C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in the EU</w:t>
      </w:r>
      <w:r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Centrum Europejskie Natolin, Warszawa. </w:t>
      </w:r>
    </w:p>
    <w:p w:rsidR="00B350B4" w:rsidRPr="0071775A" w:rsidRDefault="00B350B4" w:rsidP="00B3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2A95" w:rsidRDefault="00B350B4" w:rsidP="0071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Belka M., 2013.</w:t>
      </w:r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How </w:t>
      </w:r>
      <w:proofErr w:type="spellStart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>Poland’s</w:t>
      </w:r>
      <w:proofErr w:type="spellEnd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EU </w:t>
      </w:r>
      <w:proofErr w:type="spellStart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>Membership</w:t>
      </w:r>
      <w:proofErr w:type="spellEnd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>Helped</w:t>
      </w:r>
      <w:proofErr w:type="spellEnd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>Transform</w:t>
      </w:r>
      <w:proofErr w:type="spellEnd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>its</w:t>
      </w:r>
      <w:proofErr w:type="spellEnd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A2A95" w:rsidRPr="00B350B4">
        <w:rPr>
          <w:rFonts w:ascii="Times New Roman" w:hAnsi="Times New Roman" w:cs="Times New Roman"/>
          <w:i/>
          <w:sz w:val="24"/>
          <w:szCs w:val="24"/>
          <w:lang w:val="pl-PL"/>
        </w:rPr>
        <w:t>Economy</w:t>
      </w:r>
      <w:proofErr w:type="spellEnd"/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, The </w:t>
      </w:r>
      <w:proofErr w:type="spellStart"/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>Group</w:t>
      </w:r>
      <w:proofErr w:type="spellEnd"/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>Thirty</w:t>
      </w:r>
      <w:proofErr w:type="spellEnd"/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>Occasional</w:t>
      </w:r>
      <w:proofErr w:type="spellEnd"/>
      <w:r w:rsid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A2A95" w:rsidRPr="0071775A">
        <w:rPr>
          <w:rFonts w:ascii="Times New Roman" w:hAnsi="Times New Roman" w:cs="Times New Roman"/>
          <w:sz w:val="24"/>
          <w:szCs w:val="24"/>
          <w:lang w:val="pl-PL"/>
        </w:rPr>
        <w:t>Paper 88.</w:t>
      </w:r>
    </w:p>
    <w:p w:rsidR="00F74B55" w:rsidRDefault="00F74B55" w:rsidP="0071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74B55" w:rsidRDefault="00F74B55" w:rsidP="0071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Brodzicki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T.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Does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Variety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Matter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? Export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pattern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of Poland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prior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and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after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accession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to the EU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International Economic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Letters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Vol. 4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2: 103-118.</w:t>
      </w:r>
    </w:p>
    <w:p w:rsidR="0071775A" w:rsidRDefault="0071775A" w:rsidP="0071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1775A" w:rsidRDefault="0071775A" w:rsidP="0071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1775A">
        <w:rPr>
          <w:rFonts w:ascii="Times New Roman" w:hAnsi="Times New Roman" w:cs="Times New Roman"/>
          <w:sz w:val="24"/>
          <w:szCs w:val="24"/>
          <w:lang w:val="pl-PL"/>
        </w:rPr>
        <w:t>Buś-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Bidas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, A. 2016. </w:t>
      </w:r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Zagraniczna aktywność gospodarcza polskich przedsiębiorstw w postaci</w:t>
      </w:r>
      <w:r w:rsidR="00B350B4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inwestycji bezpośrednich.</w:t>
      </w: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>Zeszyty Naukowe PWSZ w Płocku Nauki Ekonomiczne, t. XXIV, 2016.</w:t>
      </w:r>
    </w:p>
    <w:p w:rsidR="0071775A" w:rsidRPr="0071775A" w:rsidRDefault="0071775A" w:rsidP="0071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27625" w:rsidRDefault="00E27625" w:rsidP="00CA2A9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1775A">
        <w:rPr>
          <w:rFonts w:ascii="Times New Roman" w:hAnsi="Times New Roman" w:cs="Times New Roman"/>
          <w:sz w:val="24"/>
          <w:szCs w:val="24"/>
          <w:lang w:val="pl-PL"/>
        </w:rPr>
        <w:t>CBOS</w:t>
      </w:r>
      <w:r w:rsidR="0050549F">
        <w:rPr>
          <w:rFonts w:ascii="Times New Roman" w:hAnsi="Times New Roman" w:cs="Times New Roman"/>
          <w:sz w:val="24"/>
          <w:szCs w:val="24"/>
          <w:lang w:val="pl-PL"/>
        </w:rPr>
        <w:t>, 2017</w:t>
      </w:r>
      <w:r w:rsidR="0050549F" w:rsidRPr="008B15C2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r w:rsidR="008B15C2" w:rsidRPr="008B15C2">
        <w:rPr>
          <w:rFonts w:ascii="Times New Roman" w:hAnsi="Times New Roman" w:cs="Times New Roman"/>
          <w:i/>
          <w:sz w:val="24"/>
          <w:szCs w:val="24"/>
          <w:lang w:val="pl-PL"/>
        </w:rPr>
        <w:t>Jakiej Unii chcą Polacy?</w:t>
      </w:r>
      <w:r w:rsidR="008B15C2">
        <w:rPr>
          <w:rFonts w:ascii="Times New Roman" w:hAnsi="Times New Roman" w:cs="Times New Roman"/>
          <w:sz w:val="24"/>
          <w:szCs w:val="24"/>
          <w:lang w:val="pl-PL"/>
        </w:rPr>
        <w:t xml:space="preserve"> [</w:t>
      </w:r>
      <w:r w:rsidR="008B15C2" w:rsidRPr="008B15C2">
        <w:rPr>
          <w:rFonts w:ascii="Times New Roman" w:hAnsi="Times New Roman" w:cs="Times New Roman"/>
          <w:sz w:val="24"/>
          <w:szCs w:val="24"/>
          <w:lang w:val="pl-PL"/>
        </w:rPr>
        <w:t>http://www.cbos.pl/PL/publikacje/publikacje.php</w:t>
      </w:r>
      <w:r w:rsidR="008B15C2">
        <w:rPr>
          <w:rFonts w:ascii="Times New Roman" w:hAnsi="Times New Roman" w:cs="Times New Roman"/>
          <w:sz w:val="24"/>
          <w:szCs w:val="24"/>
          <w:lang w:val="pl-PL"/>
        </w:rPr>
        <w:t>]</w:t>
      </w:r>
    </w:p>
    <w:p w:rsidR="00F74B55" w:rsidRPr="00B350B4" w:rsidRDefault="00F74B55" w:rsidP="00B3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350B4">
        <w:rPr>
          <w:rFonts w:ascii="Times New Roman" w:hAnsi="Times New Roman" w:cs="Times New Roman"/>
          <w:sz w:val="24"/>
          <w:szCs w:val="24"/>
          <w:lang w:val="pl-PL"/>
        </w:rPr>
        <w:t>Campos, N, F</w:t>
      </w:r>
      <w:r w:rsidR="00B350B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350B4">
        <w:rPr>
          <w:rFonts w:ascii="Times New Roman" w:hAnsi="Times New Roman" w:cs="Times New Roman"/>
          <w:sz w:val="24"/>
          <w:szCs w:val="24"/>
          <w:lang w:val="pl-PL"/>
        </w:rPr>
        <w:t>Coricelli</w:t>
      </w:r>
      <w:proofErr w:type="spellEnd"/>
      <w:r w:rsidR="00B350B4">
        <w:rPr>
          <w:rFonts w:ascii="Times New Roman" w:hAnsi="Times New Roman" w:cs="Times New Roman"/>
          <w:sz w:val="24"/>
          <w:szCs w:val="24"/>
          <w:lang w:val="pl-PL"/>
        </w:rPr>
        <w:t xml:space="preserve"> and L Moretti , 2014.</w:t>
      </w:r>
      <w:r w:rsidRPr="00B350B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Economic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Growth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and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Political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Integration: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Synthetic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Counterfactuals</w:t>
      </w:r>
      <w:proofErr w:type="spellEnd"/>
      <w:r w:rsidR="00B350B4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Evidence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from Europe</w:t>
      </w:r>
      <w:r w:rsidRPr="00B350B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B350B4">
        <w:rPr>
          <w:rFonts w:ascii="Times New Roman" w:hAnsi="Times New Roman" w:cs="Times New Roman"/>
          <w:sz w:val="24"/>
          <w:szCs w:val="24"/>
          <w:lang w:val="pl-PL"/>
        </w:rPr>
        <w:t>mimeo</w:t>
      </w:r>
      <w:proofErr w:type="spellEnd"/>
      <w:r w:rsidRPr="00B350B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350B4" w:rsidRDefault="00B350B4" w:rsidP="00B3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74B55" w:rsidRDefault="00B350B4" w:rsidP="00B3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Čihák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M. 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Fonteyne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W. 2009.</w:t>
      </w:r>
      <w:r w:rsidR="00F74B55" w:rsidRPr="00B350B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Five </w:t>
      </w:r>
      <w:proofErr w:type="spellStart"/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>Years</w:t>
      </w:r>
      <w:proofErr w:type="spellEnd"/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>After</w:t>
      </w:r>
      <w:proofErr w:type="spellEnd"/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: </w:t>
      </w:r>
      <w:proofErr w:type="spellStart"/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>European</w:t>
      </w:r>
      <w:proofErr w:type="spellEnd"/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Union </w:t>
      </w:r>
      <w:proofErr w:type="spellStart"/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>Membership</w:t>
      </w:r>
      <w:proofErr w:type="spellEnd"/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and Macro-Financial </w:t>
      </w:r>
      <w:proofErr w:type="spellStart"/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>Stability</w:t>
      </w:r>
      <w:proofErr w:type="spellEnd"/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in</w:t>
      </w:r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the New </w:t>
      </w:r>
      <w:proofErr w:type="spellStart"/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>Member</w:t>
      </w:r>
      <w:proofErr w:type="spellEnd"/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F74B55" w:rsidRPr="00B350B4">
        <w:rPr>
          <w:rFonts w:ascii="Times New Roman" w:hAnsi="Times New Roman" w:cs="Times New Roman"/>
          <w:i/>
          <w:sz w:val="24"/>
          <w:szCs w:val="24"/>
          <w:lang w:val="pl-PL"/>
        </w:rPr>
        <w:t>States</w:t>
      </w:r>
      <w:proofErr w:type="spellEnd"/>
      <w:r w:rsidR="00F74B55" w:rsidRPr="00B350B4">
        <w:rPr>
          <w:rFonts w:ascii="Times New Roman" w:hAnsi="Times New Roman" w:cs="Times New Roman"/>
          <w:sz w:val="24"/>
          <w:szCs w:val="24"/>
          <w:lang w:val="pl-PL"/>
        </w:rPr>
        <w:t xml:space="preserve"> IMF </w:t>
      </w:r>
      <w:proofErr w:type="spellStart"/>
      <w:r w:rsidR="00F74B55" w:rsidRPr="00B350B4">
        <w:rPr>
          <w:rFonts w:ascii="Times New Roman" w:hAnsi="Times New Roman" w:cs="Times New Roman"/>
          <w:sz w:val="24"/>
          <w:szCs w:val="24"/>
          <w:lang w:val="pl-PL"/>
        </w:rPr>
        <w:t>Working</w:t>
      </w:r>
      <w:proofErr w:type="spellEnd"/>
      <w:r w:rsidR="00F74B55" w:rsidRPr="00B350B4">
        <w:rPr>
          <w:rFonts w:ascii="Times New Roman" w:hAnsi="Times New Roman" w:cs="Times New Roman"/>
          <w:sz w:val="24"/>
          <w:szCs w:val="24"/>
          <w:lang w:val="pl-PL"/>
        </w:rPr>
        <w:t xml:space="preserve"> Paper, WP/09/68, March.</w:t>
      </w:r>
    </w:p>
    <w:p w:rsidR="00B350B4" w:rsidRDefault="00B350B4" w:rsidP="00B3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7009C" w:rsidRPr="0071775A" w:rsidRDefault="00F7009C" w:rsidP="00F7009C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Chidlow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>, A., Young, S. 2009</w:t>
      </w:r>
      <w:r w:rsidR="00B350B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Regional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Determinants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of FDI Distribution in Poland</w:t>
      </w: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hyperlink r:id="rId18" w:anchor="#" w:history="1">
        <w:r w:rsidRPr="0071775A">
          <w:rPr>
            <w:rFonts w:ascii="Times New Roman" w:hAnsi="Times New Roman" w:cs="Times New Roman"/>
            <w:sz w:val="24"/>
            <w:szCs w:val="24"/>
            <w:lang w:val="pl-PL"/>
          </w:rPr>
          <w:t xml:space="preserve">William Davidson </w:t>
        </w:r>
        <w:proofErr w:type="spellStart"/>
        <w:r w:rsidRPr="0071775A">
          <w:rPr>
            <w:rFonts w:ascii="Times New Roman" w:hAnsi="Times New Roman" w:cs="Times New Roman"/>
            <w:sz w:val="24"/>
            <w:szCs w:val="24"/>
            <w:lang w:val="pl-PL"/>
          </w:rPr>
          <w:t>Institute</w:t>
        </w:r>
        <w:proofErr w:type="spellEnd"/>
        <w:r w:rsidRPr="0071775A">
          <w:rPr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  <w:proofErr w:type="spellStart"/>
        <w:r w:rsidRPr="0071775A">
          <w:rPr>
            <w:rFonts w:ascii="Times New Roman" w:hAnsi="Times New Roman" w:cs="Times New Roman"/>
            <w:sz w:val="24"/>
            <w:szCs w:val="24"/>
            <w:lang w:val="pl-PL"/>
          </w:rPr>
          <w:t>Working</w:t>
        </w:r>
        <w:proofErr w:type="spellEnd"/>
        <w:r w:rsidRPr="0071775A">
          <w:rPr>
            <w:rFonts w:ascii="Times New Roman" w:hAnsi="Times New Roman" w:cs="Times New Roman"/>
            <w:sz w:val="24"/>
            <w:szCs w:val="24"/>
            <w:lang w:val="pl-PL"/>
          </w:rPr>
          <w:t xml:space="preserve"> Paper No. 943</w:t>
        </w:r>
      </w:hyperlink>
      <w:r w:rsidRPr="0071775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D2157" w:rsidRDefault="00CD2157" w:rsidP="00CA2A95">
      <w:pPr>
        <w:rPr>
          <w:rFonts w:ascii="Times New Roman" w:hAnsi="Times New Roman" w:cs="Times New Roman"/>
          <w:sz w:val="24"/>
          <w:szCs w:val="24"/>
        </w:rPr>
      </w:pP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Chmielewska, 2015.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</w:rPr>
        <w:t>Transfery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</w:rPr>
        <w:t>tytułu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</w:rPr>
        <w:t>pracy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</w:rPr>
        <w:t>Polaków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</w:rPr>
        <w:t>granicą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</w:rPr>
        <w:t>świetle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</w:rPr>
        <w:t>badań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0B4" w:rsidRPr="00B350B4">
        <w:rPr>
          <w:rFonts w:ascii="Times New Roman" w:hAnsi="Times New Roman" w:cs="Times New Roman"/>
          <w:i/>
          <w:sz w:val="24"/>
          <w:szCs w:val="24"/>
        </w:rPr>
        <w:t>N</w:t>
      </w:r>
      <w:r w:rsidRPr="00B350B4">
        <w:rPr>
          <w:rFonts w:ascii="Times New Roman" w:hAnsi="Times New Roman" w:cs="Times New Roman"/>
          <w:i/>
          <w:sz w:val="24"/>
          <w:szCs w:val="24"/>
        </w:rPr>
        <w:t>arodowego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</w:rPr>
        <w:t>Banku</w:t>
      </w:r>
      <w:proofErr w:type="spellEnd"/>
      <w:r w:rsidRPr="00B350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50B4">
        <w:rPr>
          <w:rFonts w:ascii="Times New Roman" w:hAnsi="Times New Roman" w:cs="Times New Roman"/>
          <w:i/>
          <w:sz w:val="24"/>
          <w:szCs w:val="24"/>
        </w:rPr>
        <w:t>Polskiego</w:t>
      </w:r>
      <w:proofErr w:type="spellEnd"/>
      <w:r w:rsidR="00B350B4">
        <w:rPr>
          <w:rFonts w:ascii="Times New Roman" w:hAnsi="Times New Roman" w:cs="Times New Roman"/>
          <w:sz w:val="24"/>
          <w:szCs w:val="24"/>
        </w:rPr>
        <w:t>.</w:t>
      </w:r>
      <w:r w:rsidRPr="00717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75A">
        <w:rPr>
          <w:rFonts w:ascii="Times New Roman" w:hAnsi="Times New Roman" w:cs="Times New Roman"/>
          <w:sz w:val="24"/>
          <w:szCs w:val="24"/>
        </w:rPr>
        <w:t>Intytut</w:t>
      </w:r>
      <w:proofErr w:type="spellEnd"/>
      <w:r w:rsidRPr="00717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75A">
        <w:rPr>
          <w:rFonts w:ascii="Times New Roman" w:hAnsi="Times New Roman" w:cs="Times New Roman"/>
          <w:sz w:val="24"/>
          <w:szCs w:val="24"/>
        </w:rPr>
        <w:t>Ekonomiczny</w:t>
      </w:r>
      <w:proofErr w:type="spellEnd"/>
      <w:r w:rsidRPr="0071775A">
        <w:rPr>
          <w:rFonts w:ascii="Times New Roman" w:hAnsi="Times New Roman" w:cs="Times New Roman"/>
          <w:sz w:val="24"/>
          <w:szCs w:val="24"/>
        </w:rPr>
        <w:t xml:space="preserve"> NBP.</w:t>
      </w:r>
    </w:p>
    <w:p w:rsidR="0037630A" w:rsidRPr="0071775A" w:rsidRDefault="0037630A" w:rsidP="00CA2A95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Churski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Borowczak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2015. </w:t>
      </w:r>
      <w:proofErr w:type="spellStart"/>
      <w:r w:rsidRPr="0037630A">
        <w:rPr>
          <w:rFonts w:ascii="Times New Roman" w:hAnsi="Times New Roman" w:cs="Times New Roman"/>
          <w:i/>
          <w:sz w:val="24"/>
          <w:szCs w:val="24"/>
        </w:rPr>
        <w:t>Czynniki</w:t>
      </w:r>
      <w:proofErr w:type="spellEnd"/>
      <w:r w:rsidRPr="00376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30A">
        <w:rPr>
          <w:rFonts w:ascii="Times New Roman" w:hAnsi="Times New Roman" w:cs="Times New Roman"/>
          <w:i/>
          <w:sz w:val="24"/>
          <w:szCs w:val="24"/>
        </w:rPr>
        <w:t>rozwoju</w:t>
      </w:r>
      <w:proofErr w:type="spellEnd"/>
      <w:r w:rsidRPr="00376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30A">
        <w:rPr>
          <w:rFonts w:ascii="Times New Roman" w:hAnsi="Times New Roman" w:cs="Times New Roman"/>
          <w:i/>
          <w:sz w:val="24"/>
          <w:szCs w:val="24"/>
        </w:rPr>
        <w:t>obszarów</w:t>
      </w:r>
      <w:proofErr w:type="spellEnd"/>
      <w:r w:rsidRPr="00376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30A">
        <w:rPr>
          <w:rFonts w:ascii="Times New Roman" w:hAnsi="Times New Roman" w:cs="Times New Roman"/>
          <w:i/>
          <w:sz w:val="24"/>
          <w:szCs w:val="24"/>
        </w:rPr>
        <w:t>stagnacji</w:t>
      </w:r>
      <w:proofErr w:type="spellEnd"/>
      <w:r w:rsidRPr="0037630A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Pr="0037630A">
        <w:rPr>
          <w:rFonts w:ascii="Times New Roman" w:hAnsi="Times New Roman" w:cs="Times New Roman"/>
          <w:i/>
          <w:sz w:val="24"/>
          <w:szCs w:val="24"/>
        </w:rPr>
        <w:t>Polsce</w:t>
      </w:r>
      <w:proofErr w:type="spellEnd"/>
      <w:r w:rsidRPr="0037630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7630A">
        <w:rPr>
          <w:rFonts w:ascii="Times New Roman" w:hAnsi="Times New Roman" w:cs="Times New Roman"/>
          <w:i/>
          <w:sz w:val="24"/>
          <w:szCs w:val="24"/>
        </w:rPr>
        <w:t>ukierunkowanie</w:t>
      </w:r>
      <w:proofErr w:type="spellEnd"/>
      <w:r w:rsidRPr="00376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30A">
        <w:rPr>
          <w:rFonts w:ascii="Times New Roman" w:hAnsi="Times New Roman" w:cs="Times New Roman"/>
          <w:i/>
          <w:sz w:val="24"/>
          <w:szCs w:val="24"/>
        </w:rPr>
        <w:t>interwencji</w:t>
      </w:r>
      <w:proofErr w:type="spellEnd"/>
      <w:r w:rsidRPr="00376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30A">
        <w:rPr>
          <w:rFonts w:ascii="Times New Roman" w:hAnsi="Times New Roman" w:cs="Times New Roman"/>
          <w:i/>
          <w:sz w:val="24"/>
          <w:szCs w:val="24"/>
        </w:rPr>
        <w:t>środków</w:t>
      </w:r>
      <w:proofErr w:type="spellEnd"/>
      <w:r w:rsidRPr="00376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30A">
        <w:rPr>
          <w:rFonts w:ascii="Times New Roman" w:hAnsi="Times New Roman" w:cs="Times New Roman"/>
          <w:i/>
          <w:sz w:val="24"/>
          <w:szCs w:val="24"/>
        </w:rPr>
        <w:t>unijnych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Obszarów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Wielskich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37: 115-130.</w:t>
      </w:r>
    </w:p>
    <w:p w:rsidR="002959A3" w:rsidRPr="0071775A" w:rsidRDefault="00B350B4" w:rsidP="00CA2A95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Czerniak 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Blaug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2016. </w:t>
      </w:r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Co przyniosły inwestycje zagraniczne. Wpływ na gospodarkę Polski w ostatnim ćwierćwieczu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Polityka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Insight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1775A" w:rsidRPr="0071775A" w:rsidRDefault="0071775A" w:rsidP="007177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Dunning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, J. 2003. </w:t>
      </w:r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The Role of </w:t>
      </w:r>
      <w:proofErr w:type="spellStart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>Foreign</w:t>
      </w:r>
      <w:proofErr w:type="spellEnd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Direct Investment in </w:t>
      </w:r>
      <w:proofErr w:type="spellStart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>Upgrading</w:t>
      </w:r>
      <w:proofErr w:type="spellEnd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>China’s</w:t>
      </w:r>
      <w:proofErr w:type="spellEnd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>Competitiveness</w:t>
      </w:r>
      <w:proofErr w:type="spellEnd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71775A">
        <w:rPr>
          <w:rFonts w:ascii="Times New Roman" w:eastAsia="TimesNewRomanPSMT" w:hAnsi="Times New Roman" w:cs="Times New Roman"/>
          <w:i/>
          <w:iCs/>
          <w:sz w:val="24"/>
          <w:szCs w:val="24"/>
          <w:lang w:val="pl-PL"/>
        </w:rPr>
        <w:t>Journal</w:t>
      </w:r>
      <w:proofErr w:type="spellEnd"/>
      <w:r w:rsidRPr="0071775A">
        <w:rPr>
          <w:rFonts w:ascii="Times New Roman" w:eastAsia="TimesNewRomanPSMT" w:hAnsi="Times New Roman" w:cs="Times New Roman"/>
          <w:i/>
          <w:iCs/>
          <w:sz w:val="24"/>
          <w:szCs w:val="24"/>
          <w:lang w:val="pl-PL"/>
        </w:rPr>
        <w:t xml:space="preserve"> of International Business and </w:t>
      </w:r>
      <w:proofErr w:type="spellStart"/>
      <w:r w:rsidRPr="0071775A">
        <w:rPr>
          <w:rFonts w:ascii="Times New Roman" w:eastAsia="TimesNewRomanPSMT" w:hAnsi="Times New Roman" w:cs="Times New Roman"/>
          <w:i/>
          <w:iCs/>
          <w:sz w:val="24"/>
          <w:szCs w:val="24"/>
          <w:lang w:val="pl-PL"/>
        </w:rPr>
        <w:t>Economy</w:t>
      </w:r>
      <w:proofErr w:type="spellEnd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>, vol. 4, no. 1.</w:t>
      </w:r>
    </w:p>
    <w:p w:rsidR="0071775A" w:rsidRPr="0071775A" w:rsidRDefault="0071775A" w:rsidP="007177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pl-PL"/>
        </w:rPr>
      </w:pPr>
    </w:p>
    <w:p w:rsidR="0071775A" w:rsidRPr="0071775A" w:rsidRDefault="0071775A" w:rsidP="007177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proofErr w:type="spellStart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lastRenderedPageBreak/>
        <w:t>Dunning</w:t>
      </w:r>
      <w:proofErr w:type="spellEnd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, J. 2006. </w:t>
      </w:r>
      <w:proofErr w:type="spellStart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>Towards</w:t>
      </w:r>
      <w:proofErr w:type="spellEnd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a New </w:t>
      </w:r>
      <w:proofErr w:type="spellStart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>Paradigm</w:t>
      </w:r>
      <w:proofErr w:type="spellEnd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of Development: </w:t>
      </w:r>
      <w:proofErr w:type="spellStart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>Implications</w:t>
      </w:r>
      <w:proofErr w:type="spellEnd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for the </w:t>
      </w:r>
      <w:proofErr w:type="spellStart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>Determinants</w:t>
      </w:r>
      <w:proofErr w:type="spellEnd"/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of International Business. </w:t>
      </w:r>
      <w:proofErr w:type="spellStart"/>
      <w:r w:rsidRPr="0071775A">
        <w:rPr>
          <w:rFonts w:ascii="Times New Roman" w:eastAsia="TimesNewRomanPSMT" w:hAnsi="Times New Roman" w:cs="Times New Roman"/>
          <w:i/>
          <w:iCs/>
          <w:sz w:val="24"/>
          <w:szCs w:val="24"/>
          <w:lang w:val="pl-PL"/>
        </w:rPr>
        <w:t>Transnational</w:t>
      </w:r>
      <w:proofErr w:type="spellEnd"/>
      <w:r w:rsidRPr="0071775A">
        <w:rPr>
          <w:rFonts w:ascii="Times New Roman" w:eastAsia="TimesNewRomanPSMT" w:hAnsi="Times New Roman" w:cs="Times New Roman"/>
          <w:i/>
          <w:iCs/>
          <w:sz w:val="24"/>
          <w:szCs w:val="24"/>
          <w:lang w:val="pl-PL"/>
        </w:rPr>
        <w:t xml:space="preserve"> Corporation, </w:t>
      </w:r>
      <w:r w:rsidRPr="0071775A">
        <w:rPr>
          <w:rFonts w:ascii="Times New Roman" w:eastAsia="TimesNewRomanPSMT" w:hAnsi="Times New Roman" w:cs="Times New Roman"/>
          <w:sz w:val="24"/>
          <w:szCs w:val="24"/>
          <w:lang w:val="pl-PL"/>
        </w:rPr>
        <w:t>vol. 15, no. 1</w:t>
      </w:r>
    </w:p>
    <w:p w:rsidR="0071775A" w:rsidRPr="0071775A" w:rsidRDefault="0071775A" w:rsidP="0071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51769" w:rsidRDefault="00D51769" w:rsidP="00B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Ederveen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, S.,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Gorter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, J., de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Mooij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, R. i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Nahuis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, R., 2003,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Funds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and Games. The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Economics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European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Cohesion</w:t>
      </w:r>
      <w:proofErr w:type="spellEnd"/>
      <w:r w:rsidR="00B22AB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Policy, ENEPRI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Occasional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Paper, 3: 12-46.</w:t>
      </w:r>
    </w:p>
    <w:p w:rsidR="0050549F" w:rsidRDefault="0050549F" w:rsidP="00B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0549F" w:rsidRDefault="0050549F" w:rsidP="00B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Główny Urząd Statystyczny. 2015. Rocznik Handlu Zagranicznego 2015.</w:t>
      </w:r>
    </w:p>
    <w:p w:rsidR="008B15C2" w:rsidRPr="00873E70" w:rsidRDefault="008B15C2" w:rsidP="00B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15C2" w:rsidRPr="00873E70" w:rsidRDefault="008B15C2" w:rsidP="00B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73E70">
        <w:rPr>
          <w:rFonts w:ascii="Times New Roman" w:hAnsi="Times New Roman" w:cs="Times New Roman"/>
          <w:sz w:val="24"/>
          <w:szCs w:val="24"/>
          <w:lang w:val="pl-PL"/>
        </w:rPr>
        <w:t>Główny Urząd Statystyczny</w:t>
      </w:r>
      <w:r w:rsidRPr="00873E70">
        <w:rPr>
          <w:rFonts w:ascii="Times New Roman" w:hAnsi="Times New Roman" w:cs="Times New Roman"/>
          <w:sz w:val="24"/>
          <w:szCs w:val="24"/>
          <w:lang w:val="pl-PL"/>
        </w:rPr>
        <w:t>. 2017. Informacja o rozmiarach i kierunkach emigracji z Polski w latach 2004–2016.</w:t>
      </w:r>
    </w:p>
    <w:p w:rsidR="00B22AB6" w:rsidRPr="00873E70" w:rsidRDefault="00B22AB6" w:rsidP="00B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B22AB6" w:rsidRPr="00873E70" w:rsidRDefault="00B22AB6" w:rsidP="00B22AB6">
      <w:pPr>
        <w:jc w:val="both"/>
        <w:rPr>
          <w:rFonts w:ascii="Times New Roman" w:hAnsi="Times New Roman" w:cs="Times New Roman"/>
          <w:sz w:val="24"/>
          <w:szCs w:val="24"/>
        </w:rPr>
      </w:pPr>
      <w:r w:rsidRPr="00873E70">
        <w:rPr>
          <w:rFonts w:ascii="Times New Roman" w:hAnsi="Times New Roman" w:cs="Times New Roman"/>
          <w:sz w:val="24"/>
          <w:szCs w:val="24"/>
        </w:rPr>
        <w:t xml:space="preserve">Hartwell, C. 2013. </w:t>
      </w:r>
      <w:r w:rsidRPr="00873E70">
        <w:rPr>
          <w:rFonts w:ascii="Times New Roman" w:hAnsi="Times New Roman" w:cs="Times New Roman"/>
          <w:i/>
          <w:sz w:val="24"/>
          <w:szCs w:val="24"/>
        </w:rPr>
        <w:t>Institutional Barriers in the Transition to Market. Examining Performance and Divergence in Transition Economies.</w:t>
      </w:r>
      <w:r w:rsidRPr="00873E70">
        <w:rPr>
          <w:rFonts w:ascii="Times New Roman" w:hAnsi="Times New Roman" w:cs="Times New Roman"/>
          <w:sz w:val="24"/>
          <w:szCs w:val="24"/>
        </w:rPr>
        <w:t xml:space="preserve"> Palgrave Macmillan. 2013.</w:t>
      </w:r>
    </w:p>
    <w:p w:rsidR="00B22AB6" w:rsidRPr="00873E70" w:rsidRDefault="00B22AB6" w:rsidP="00B22AB6">
      <w:pPr>
        <w:jc w:val="both"/>
        <w:rPr>
          <w:rFonts w:ascii="Times New Roman" w:hAnsi="Times New Roman" w:cs="Times New Roman"/>
          <w:sz w:val="24"/>
          <w:szCs w:val="24"/>
        </w:rPr>
      </w:pPr>
      <w:r w:rsidRPr="00873E70">
        <w:rPr>
          <w:rFonts w:ascii="Times New Roman" w:hAnsi="Times New Roman" w:cs="Times New Roman"/>
          <w:sz w:val="24"/>
          <w:szCs w:val="24"/>
        </w:rPr>
        <w:t xml:space="preserve">Hartwell, C. 2016. </w:t>
      </w:r>
      <w:r w:rsidRPr="00873E70">
        <w:rPr>
          <w:rFonts w:ascii="Times New Roman" w:hAnsi="Times New Roman" w:cs="Times New Roman"/>
          <w:i/>
          <w:sz w:val="24"/>
          <w:szCs w:val="24"/>
        </w:rPr>
        <w:t>Two Roads Diverge. The Transition Experience of Poland and Ukraine</w:t>
      </w:r>
      <w:r w:rsidRPr="00873E70">
        <w:rPr>
          <w:rFonts w:ascii="Times New Roman" w:hAnsi="Times New Roman" w:cs="Times New Roman"/>
          <w:sz w:val="24"/>
          <w:szCs w:val="24"/>
        </w:rPr>
        <w:t>. Cambridge University Press.</w:t>
      </w:r>
    </w:p>
    <w:p w:rsidR="00B22AB6" w:rsidRPr="00873E70" w:rsidRDefault="00B22AB6" w:rsidP="00CA2A95">
      <w:pPr>
        <w:rPr>
          <w:rFonts w:ascii="Times New Roman" w:hAnsi="Times New Roman" w:cs="Times New Roman"/>
          <w:sz w:val="24"/>
          <w:szCs w:val="24"/>
        </w:rPr>
      </w:pPr>
      <w:r w:rsidRPr="00873E70">
        <w:rPr>
          <w:rStyle w:val="Hipercze"/>
          <w:rFonts w:ascii="Times New Roman" w:hAnsi="Times New Roman" w:cs="Times New Roman"/>
          <w:color w:val="171717" w:themeColor="background2" w:themeShade="1A"/>
          <w:sz w:val="24"/>
          <w:szCs w:val="24"/>
          <w:u w:val="none"/>
          <w:lang w:val="pl-PL"/>
        </w:rPr>
        <w:t xml:space="preserve">Hubner, D. 2004. </w:t>
      </w:r>
      <w:r w:rsidRPr="00873E70">
        <w:rPr>
          <w:rFonts w:ascii="Times New Roman" w:hAnsi="Times New Roman" w:cs="Times New Roman"/>
          <w:i/>
          <w:sz w:val="24"/>
          <w:szCs w:val="24"/>
        </w:rPr>
        <w:t>Impact of the membership in the European Union on economic growth in Poland</w:t>
      </w:r>
      <w:r w:rsidRPr="00873E70">
        <w:rPr>
          <w:rFonts w:ascii="Times New Roman" w:hAnsi="Times New Roman" w:cs="Times New Roman"/>
          <w:i/>
          <w:sz w:val="24"/>
          <w:szCs w:val="24"/>
        </w:rPr>
        <w:t>.</w:t>
      </w:r>
      <w:r w:rsidRPr="00873E70">
        <w:rPr>
          <w:rFonts w:ascii="Times New Roman" w:hAnsi="Times New Roman" w:cs="Times New Roman"/>
          <w:sz w:val="24"/>
          <w:szCs w:val="24"/>
        </w:rPr>
        <w:t xml:space="preserve"> </w:t>
      </w:r>
      <w:r w:rsidRPr="00873E70">
        <w:rPr>
          <w:rFonts w:ascii="Times New Roman" w:hAnsi="Times New Roman" w:cs="Times New Roman"/>
          <w:sz w:val="24"/>
          <w:szCs w:val="24"/>
        </w:rPr>
        <w:t>TIGER Working Paper Series, No. 51</w:t>
      </w:r>
    </w:p>
    <w:p w:rsidR="00B22AB6" w:rsidRDefault="00B22AB6" w:rsidP="00B22AB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Kołodziejczyk, K. 2016 </w:t>
      </w:r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Poland in the </w:t>
      </w:r>
      <w:proofErr w:type="spellStart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>European</w:t>
      </w:r>
      <w:proofErr w:type="spellEnd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Union. Ten </w:t>
      </w:r>
      <w:proofErr w:type="spellStart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>Years</w:t>
      </w:r>
      <w:proofErr w:type="spellEnd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of </w:t>
      </w:r>
      <w:proofErr w:type="spellStart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>Membership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. UNISCI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Journal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no. 40.</w:t>
      </w:r>
    </w:p>
    <w:p w:rsidR="00B22AB6" w:rsidRDefault="00B22AB6" w:rsidP="00B22AB6">
      <w:pPr>
        <w:rPr>
          <w:rStyle w:val="Hipercze"/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Komisja Europejska</w:t>
      </w:r>
      <w:r w:rsidR="001E429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2015</w:t>
      </w:r>
      <w:r w:rsidR="001E429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E429C">
        <w:rPr>
          <w:rFonts w:ascii="Times New Roman" w:hAnsi="Times New Roman" w:cs="Times New Roman"/>
          <w:sz w:val="24"/>
          <w:szCs w:val="24"/>
          <w:lang w:val="pl-PL"/>
        </w:rPr>
        <w:t>Cohesion</w:t>
      </w:r>
      <w:proofErr w:type="spellEnd"/>
      <w:r w:rsidR="001E429C">
        <w:rPr>
          <w:rFonts w:ascii="Times New Roman" w:hAnsi="Times New Roman" w:cs="Times New Roman"/>
          <w:sz w:val="24"/>
          <w:szCs w:val="24"/>
          <w:lang w:val="pl-PL"/>
        </w:rPr>
        <w:t xml:space="preserve"> Fund [</w:t>
      </w:r>
      <w:r w:rsidRPr="001E429C">
        <w:rPr>
          <w:rFonts w:ascii="Times New Roman" w:hAnsi="Times New Roman" w:cs="Times New Roman"/>
          <w:sz w:val="24"/>
          <w:szCs w:val="24"/>
          <w:lang w:val="pl-PL"/>
        </w:rPr>
        <w:t>http://ec.europa.eu/regional_policy/en/funding/cohesion-fund/</w:t>
      </w:r>
      <w:r w:rsidR="001E429C">
        <w:rPr>
          <w:rStyle w:val="Hipercze"/>
          <w:rFonts w:ascii="Times New Roman" w:hAnsi="Times New Roman" w:cs="Times New Roman"/>
          <w:sz w:val="24"/>
          <w:szCs w:val="24"/>
          <w:lang w:val="pl-PL"/>
        </w:rPr>
        <w:t>]</w:t>
      </w:r>
    </w:p>
    <w:p w:rsidR="00B22AB6" w:rsidRDefault="00B22AB6" w:rsidP="00B22AB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Komisja Europejska</w:t>
      </w:r>
      <w:r w:rsidR="001E429C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2017</w:t>
      </w:r>
      <w:r w:rsidR="001E429C">
        <w:rPr>
          <w:rFonts w:ascii="Times New Roman" w:hAnsi="Times New Roman" w:cs="Times New Roman"/>
          <w:sz w:val="24"/>
          <w:szCs w:val="24"/>
          <w:lang w:val="pl-PL"/>
        </w:rPr>
        <w:t xml:space="preserve">a. </w:t>
      </w:r>
      <w:proofErr w:type="spellStart"/>
      <w:r w:rsidR="001E429C">
        <w:rPr>
          <w:rFonts w:ascii="Times New Roman" w:hAnsi="Times New Roman" w:cs="Times New Roman"/>
          <w:sz w:val="24"/>
          <w:szCs w:val="24"/>
          <w:lang w:val="pl-PL"/>
        </w:rPr>
        <w:t>European</w:t>
      </w:r>
      <w:proofErr w:type="spellEnd"/>
      <w:r w:rsidR="001E42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E429C">
        <w:rPr>
          <w:rFonts w:ascii="Times New Roman" w:hAnsi="Times New Roman" w:cs="Times New Roman"/>
          <w:sz w:val="24"/>
          <w:szCs w:val="24"/>
          <w:lang w:val="pl-PL"/>
        </w:rPr>
        <w:t>Innovation</w:t>
      </w:r>
      <w:proofErr w:type="spellEnd"/>
      <w:r w:rsidR="001E42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E429C">
        <w:rPr>
          <w:rFonts w:ascii="Times New Roman" w:hAnsi="Times New Roman" w:cs="Times New Roman"/>
          <w:sz w:val="24"/>
          <w:szCs w:val="24"/>
          <w:lang w:val="pl-PL"/>
        </w:rPr>
        <w:t>Scoreboard</w:t>
      </w:r>
      <w:proofErr w:type="spellEnd"/>
      <w:r w:rsidR="001E429C">
        <w:rPr>
          <w:rFonts w:ascii="Times New Roman" w:hAnsi="Times New Roman" w:cs="Times New Roman"/>
          <w:sz w:val="24"/>
          <w:szCs w:val="24"/>
          <w:lang w:val="pl-PL"/>
        </w:rPr>
        <w:t xml:space="preserve"> – Country </w:t>
      </w:r>
      <w:proofErr w:type="spellStart"/>
      <w:r w:rsidR="001E429C">
        <w:rPr>
          <w:rFonts w:ascii="Times New Roman" w:hAnsi="Times New Roman" w:cs="Times New Roman"/>
          <w:sz w:val="24"/>
          <w:szCs w:val="24"/>
          <w:lang w:val="pl-PL"/>
        </w:rPr>
        <w:t>Sheet</w:t>
      </w:r>
      <w:proofErr w:type="spellEnd"/>
      <w:r w:rsidR="001E429C">
        <w:rPr>
          <w:rFonts w:ascii="Times New Roman" w:hAnsi="Times New Roman" w:cs="Times New Roman"/>
          <w:sz w:val="24"/>
          <w:szCs w:val="24"/>
          <w:lang w:val="pl-PL"/>
        </w:rPr>
        <w:t>: Poland. [</w:t>
      </w:r>
      <w:r w:rsidR="001E429C" w:rsidRPr="001E429C">
        <w:rPr>
          <w:rFonts w:ascii="Times New Roman" w:hAnsi="Times New Roman" w:cs="Times New Roman"/>
          <w:sz w:val="24"/>
          <w:szCs w:val="24"/>
          <w:lang w:val="pl-PL"/>
        </w:rPr>
        <w:t>http://ec.europa.eu/docsroom/documents/23933</w:t>
      </w:r>
      <w:r w:rsidR="001E429C">
        <w:rPr>
          <w:rFonts w:ascii="Times New Roman" w:hAnsi="Times New Roman" w:cs="Times New Roman"/>
          <w:sz w:val="24"/>
          <w:szCs w:val="24"/>
          <w:lang w:val="pl-PL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E429C" w:rsidRDefault="001E429C" w:rsidP="00B22AB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Komisja Europejska 2017b. CAP in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County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: Poland. [</w:t>
      </w:r>
      <w:r w:rsidRPr="001E429C">
        <w:rPr>
          <w:rFonts w:ascii="Times New Roman" w:hAnsi="Times New Roman" w:cs="Times New Roman"/>
          <w:sz w:val="24"/>
          <w:szCs w:val="24"/>
          <w:lang w:val="pl-PL"/>
        </w:rPr>
        <w:t>https://ec.europa.eu/agriculture/sites/agriculture/files/cap-in-your-country/pdf/pl_en.pdf</w:t>
      </w:r>
      <w:r>
        <w:rPr>
          <w:rFonts w:ascii="Times New Roman" w:hAnsi="Times New Roman" w:cs="Times New Roman"/>
          <w:sz w:val="24"/>
          <w:szCs w:val="24"/>
          <w:lang w:val="pl-PL"/>
        </w:rPr>
        <w:t>]</w:t>
      </w:r>
    </w:p>
    <w:p w:rsidR="001E429C" w:rsidRDefault="001E429C" w:rsidP="001E429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Łaszek, A. 2015.  </w:t>
      </w:r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 xml:space="preserve">Następne 25 lat. Jakie reformy musimy przeprowadzić, aby dogonić Zachód? </w:t>
      </w:r>
      <w:r>
        <w:rPr>
          <w:rFonts w:ascii="Times New Roman" w:hAnsi="Times New Roman" w:cs="Times New Roman"/>
          <w:sz w:val="24"/>
          <w:szCs w:val="24"/>
          <w:lang w:val="pl-PL"/>
        </w:rPr>
        <w:t>Forum Obywatelskiego Rozwoju. Warszawa</w:t>
      </w:r>
    </w:p>
    <w:p w:rsidR="00B60D7A" w:rsidRDefault="00B60D7A" w:rsidP="00BD06F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Lipsey</w:t>
      </w:r>
      <w:proofErr w:type="spellEnd"/>
      <w:r w:rsidR="00F7009C">
        <w:rPr>
          <w:rFonts w:ascii="Times New Roman" w:hAnsi="Times New Roman" w:cs="Times New Roman"/>
          <w:sz w:val="24"/>
          <w:szCs w:val="24"/>
          <w:lang w:val="pl-PL"/>
        </w:rPr>
        <w:t>, R.</w:t>
      </w: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775A" w:rsidRPr="0071775A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F7009C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71775A" w:rsidRPr="0071775A">
        <w:rPr>
          <w:rFonts w:ascii="Times New Roman" w:hAnsi="Times New Roman" w:cs="Times New Roman"/>
          <w:sz w:val="24"/>
          <w:szCs w:val="24"/>
          <w:lang w:val="pl-PL"/>
        </w:rPr>
        <w:t>06.</w:t>
      </w: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>Measuring</w:t>
      </w:r>
      <w:proofErr w:type="spellEnd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the </w:t>
      </w:r>
      <w:proofErr w:type="spellStart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>Impacts</w:t>
      </w:r>
      <w:proofErr w:type="spellEnd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of FDI in Central and </w:t>
      </w:r>
      <w:proofErr w:type="spellStart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>Eastern</w:t>
      </w:r>
      <w:proofErr w:type="spellEnd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Europe</w:t>
      </w:r>
      <w:r w:rsidR="0071775A"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NBER </w:t>
      </w:r>
      <w:proofErr w:type="spellStart"/>
      <w:r w:rsidRPr="0071775A">
        <w:rPr>
          <w:rFonts w:ascii="Times New Roman" w:hAnsi="Times New Roman" w:cs="Times New Roman"/>
          <w:sz w:val="24"/>
          <w:szCs w:val="24"/>
          <w:lang w:val="pl-PL"/>
        </w:rPr>
        <w:t>Working</w:t>
      </w:r>
      <w:proofErr w:type="spellEnd"/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Paper No. 12808</w:t>
      </w:r>
    </w:p>
    <w:p w:rsidR="001E429C" w:rsidRDefault="001E429C" w:rsidP="001E4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E429C">
        <w:rPr>
          <w:rFonts w:ascii="Times New Roman" w:hAnsi="Times New Roman" w:cs="Times New Roman"/>
          <w:sz w:val="24"/>
          <w:szCs w:val="24"/>
          <w:lang w:val="pl-PL"/>
        </w:rPr>
        <w:t>Lehmann, H., 2012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E429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 xml:space="preserve">The </w:t>
      </w:r>
      <w:proofErr w:type="spellStart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>Polish</w:t>
      </w:r>
      <w:proofErr w:type="spellEnd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>Growth</w:t>
      </w:r>
      <w:proofErr w:type="spellEnd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>Miracle</w:t>
      </w:r>
      <w:proofErr w:type="spellEnd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 xml:space="preserve">: </w:t>
      </w:r>
      <w:proofErr w:type="spellStart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>Outcome</w:t>
      </w:r>
      <w:proofErr w:type="spellEnd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of </w:t>
      </w:r>
      <w:proofErr w:type="spellStart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>Persistent</w:t>
      </w:r>
      <w:proofErr w:type="spellEnd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Reform </w:t>
      </w:r>
      <w:proofErr w:type="spellStart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>Efforts</w:t>
      </w:r>
      <w:proofErr w:type="spellEnd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  <w:r w:rsidRPr="001E429C">
        <w:rPr>
          <w:rFonts w:ascii="Times New Roman" w:hAnsi="Times New Roman" w:cs="Times New Roman"/>
          <w:sz w:val="24"/>
          <w:szCs w:val="24"/>
          <w:lang w:val="pl-PL"/>
        </w:rPr>
        <w:t xml:space="preserve"> IZA Policy </w:t>
      </w:r>
      <w:proofErr w:type="spellStart"/>
      <w:r w:rsidRPr="001E429C">
        <w:rPr>
          <w:rFonts w:ascii="Times New Roman" w:hAnsi="Times New Roman" w:cs="Times New Roman"/>
          <w:sz w:val="24"/>
          <w:szCs w:val="24"/>
          <w:lang w:val="pl-PL"/>
        </w:rPr>
        <w:t>Papers</w:t>
      </w:r>
      <w:proofErr w:type="spellEnd"/>
      <w:r w:rsidRPr="001E429C">
        <w:rPr>
          <w:rFonts w:ascii="Times New Roman" w:hAnsi="Times New Roman" w:cs="Times New Roman"/>
          <w:sz w:val="24"/>
          <w:szCs w:val="24"/>
          <w:lang w:val="pl-PL"/>
        </w:rPr>
        <w:t xml:space="preserve"> 40,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E429C">
        <w:rPr>
          <w:rFonts w:ascii="Times New Roman" w:hAnsi="Times New Roman" w:cs="Times New Roman"/>
          <w:sz w:val="24"/>
          <w:szCs w:val="24"/>
          <w:lang w:val="pl-PL"/>
        </w:rPr>
        <w:t>Institute</w:t>
      </w:r>
      <w:proofErr w:type="spellEnd"/>
      <w:r w:rsidRPr="001E429C">
        <w:rPr>
          <w:rFonts w:ascii="Times New Roman" w:hAnsi="Times New Roman" w:cs="Times New Roman"/>
          <w:sz w:val="24"/>
          <w:szCs w:val="24"/>
          <w:lang w:val="pl-PL"/>
        </w:rPr>
        <w:t xml:space="preserve"> for the </w:t>
      </w:r>
      <w:proofErr w:type="spellStart"/>
      <w:r w:rsidRPr="001E429C">
        <w:rPr>
          <w:rFonts w:ascii="Times New Roman" w:hAnsi="Times New Roman" w:cs="Times New Roman"/>
          <w:sz w:val="24"/>
          <w:szCs w:val="24"/>
          <w:lang w:val="pl-PL"/>
        </w:rPr>
        <w:t>Study</w:t>
      </w:r>
      <w:proofErr w:type="spellEnd"/>
      <w:r w:rsidRPr="001E429C">
        <w:rPr>
          <w:rFonts w:ascii="Times New Roman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1E429C">
        <w:rPr>
          <w:rFonts w:ascii="Times New Roman" w:hAnsi="Times New Roman" w:cs="Times New Roman"/>
          <w:sz w:val="24"/>
          <w:szCs w:val="24"/>
          <w:lang w:val="pl-PL"/>
        </w:rPr>
        <w:t>Labor</w:t>
      </w:r>
      <w:proofErr w:type="spellEnd"/>
      <w:r w:rsidRPr="001E429C">
        <w:rPr>
          <w:rFonts w:ascii="Times New Roman" w:hAnsi="Times New Roman" w:cs="Times New Roman"/>
          <w:sz w:val="24"/>
          <w:szCs w:val="24"/>
          <w:lang w:val="pl-PL"/>
        </w:rPr>
        <w:t xml:space="preserve"> (IZA)</w:t>
      </w:r>
    </w:p>
    <w:p w:rsidR="001E429C" w:rsidRPr="001E429C" w:rsidRDefault="001E429C" w:rsidP="001E4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1775A" w:rsidRDefault="001E429C" w:rsidP="0071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Marzinotto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B.</w:t>
      </w:r>
      <w:r w:rsidR="0071775A"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2012, </w:t>
      </w:r>
      <w:r w:rsidR="0071775A" w:rsidRPr="00B22A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The </w:t>
      </w:r>
      <w:proofErr w:type="spellStart"/>
      <w:r w:rsidR="0071775A" w:rsidRPr="00B22AB6">
        <w:rPr>
          <w:rFonts w:ascii="Times New Roman" w:hAnsi="Times New Roman" w:cs="Times New Roman"/>
          <w:i/>
          <w:sz w:val="24"/>
          <w:szCs w:val="24"/>
          <w:lang w:val="pl-PL"/>
        </w:rPr>
        <w:t>growth</w:t>
      </w:r>
      <w:proofErr w:type="spellEnd"/>
      <w:r w:rsidR="0071775A" w:rsidRPr="00B22A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71775A" w:rsidRPr="00B22AB6">
        <w:rPr>
          <w:rFonts w:ascii="Times New Roman" w:hAnsi="Times New Roman" w:cs="Times New Roman"/>
          <w:i/>
          <w:sz w:val="24"/>
          <w:szCs w:val="24"/>
          <w:lang w:val="pl-PL"/>
        </w:rPr>
        <w:t>effects</w:t>
      </w:r>
      <w:proofErr w:type="spellEnd"/>
      <w:r w:rsidR="0071775A" w:rsidRPr="00B22A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of EU </w:t>
      </w:r>
      <w:proofErr w:type="spellStart"/>
      <w:r w:rsidR="0071775A" w:rsidRPr="00B22AB6">
        <w:rPr>
          <w:rFonts w:ascii="Times New Roman" w:hAnsi="Times New Roman" w:cs="Times New Roman"/>
          <w:i/>
          <w:sz w:val="24"/>
          <w:szCs w:val="24"/>
          <w:lang w:val="pl-PL"/>
        </w:rPr>
        <w:t>cohesion</w:t>
      </w:r>
      <w:proofErr w:type="spellEnd"/>
      <w:r w:rsidR="0071775A" w:rsidRPr="00B22A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policy: a meta-</w:t>
      </w:r>
      <w:proofErr w:type="spellStart"/>
      <w:r w:rsidR="0071775A" w:rsidRPr="00B22AB6">
        <w:rPr>
          <w:rFonts w:ascii="Times New Roman" w:hAnsi="Times New Roman" w:cs="Times New Roman"/>
          <w:i/>
          <w:sz w:val="24"/>
          <w:szCs w:val="24"/>
          <w:lang w:val="pl-PL"/>
        </w:rPr>
        <w:t>analysis</w:t>
      </w:r>
      <w:proofErr w:type="spellEnd"/>
      <w:r w:rsidR="0071775A"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, Bruegel </w:t>
      </w:r>
      <w:proofErr w:type="spellStart"/>
      <w:r w:rsidR="0071775A" w:rsidRPr="0071775A">
        <w:rPr>
          <w:rFonts w:ascii="Times New Roman" w:hAnsi="Times New Roman" w:cs="Times New Roman"/>
          <w:sz w:val="24"/>
          <w:szCs w:val="24"/>
          <w:lang w:val="pl-PL"/>
        </w:rPr>
        <w:t>Working</w:t>
      </w:r>
      <w:proofErr w:type="spellEnd"/>
      <w:r w:rsidR="0071775A"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 Paper 2012, 14:</w:t>
      </w:r>
      <w:r w:rsidR="007177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775A" w:rsidRPr="0071775A">
        <w:rPr>
          <w:rFonts w:ascii="Times New Roman" w:hAnsi="Times New Roman" w:cs="Times New Roman"/>
          <w:sz w:val="24"/>
          <w:szCs w:val="24"/>
          <w:lang w:val="pl-PL"/>
        </w:rPr>
        <w:t>2-17.</w:t>
      </w:r>
    </w:p>
    <w:p w:rsidR="00B22AB6" w:rsidRDefault="00B22AB6" w:rsidP="00717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75E25" w:rsidRDefault="00075E25" w:rsidP="00B7497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Mazowiecki, T. 1990. </w:t>
      </w:r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>Powrót do Europy: Przemówienie na forum Rady Europy w Strasburgu</w:t>
      </w:r>
      <w:r w:rsidRPr="0071775A">
        <w:rPr>
          <w:rFonts w:ascii="Times New Roman" w:hAnsi="Times New Roman" w:cs="Times New Roman"/>
          <w:sz w:val="24"/>
          <w:szCs w:val="24"/>
          <w:lang w:val="pl-PL"/>
        </w:rPr>
        <w:t>. Znak, no. 416, Kraków</w:t>
      </w:r>
    </w:p>
    <w:p w:rsidR="001E429C" w:rsidRDefault="001E429C" w:rsidP="001E4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McKinsey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2015. </w:t>
      </w:r>
      <w:r w:rsidRPr="00B350B4">
        <w:rPr>
          <w:rFonts w:ascii="Times New Roman" w:hAnsi="Times New Roman" w:cs="Times New Roman"/>
          <w:i/>
          <w:sz w:val="24"/>
          <w:szCs w:val="24"/>
          <w:lang w:val="pl-PL"/>
        </w:rPr>
        <w:t>Polska 2025. Nowy Motor Wzrostu w Europie</w:t>
      </w:r>
      <w:r>
        <w:rPr>
          <w:rFonts w:ascii="Times New Roman" w:hAnsi="Times New Roman" w:cs="Times New Roman"/>
          <w:sz w:val="24"/>
          <w:szCs w:val="24"/>
          <w:lang w:val="pl-PL"/>
        </w:rPr>
        <w:t>. Warszawa.</w:t>
      </w:r>
    </w:p>
    <w:p w:rsidR="0050549F" w:rsidRDefault="0050549F" w:rsidP="001E4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0549F" w:rsidRDefault="0050549F" w:rsidP="001E4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Ministerstwo Finansów 2004-2016. Skumulowane transfery finansowe pomiędzy Polską a UE 2002-2016.</w:t>
      </w:r>
    </w:p>
    <w:p w:rsidR="001E429C" w:rsidRDefault="001E429C" w:rsidP="001E4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E429C" w:rsidRPr="0071775A" w:rsidRDefault="001E429C" w:rsidP="001E429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Ministerstwo Spraw Zagranicznych, 2014. </w:t>
      </w:r>
      <w:proofErr w:type="spellStart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>Poland’s</w:t>
      </w:r>
      <w:proofErr w:type="spellEnd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10 </w:t>
      </w:r>
      <w:proofErr w:type="spellStart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>years</w:t>
      </w:r>
      <w:proofErr w:type="spellEnd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in </w:t>
      </w:r>
      <w:proofErr w:type="spellStart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>European</w:t>
      </w:r>
      <w:proofErr w:type="spellEnd"/>
      <w:r w:rsidRPr="00B22AB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Union</w:t>
      </w:r>
      <w:r>
        <w:rPr>
          <w:rFonts w:ascii="Times New Roman" w:hAnsi="Times New Roman" w:cs="Times New Roman"/>
          <w:sz w:val="24"/>
          <w:szCs w:val="24"/>
          <w:lang w:val="pl-PL"/>
        </w:rPr>
        <w:t>. Warszawa.</w:t>
      </w:r>
    </w:p>
    <w:p w:rsidR="001E429C" w:rsidRDefault="001E429C" w:rsidP="001E4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Nagaj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R. 2012. </w:t>
      </w:r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 xml:space="preserve">Analysis of Public </w:t>
      </w:r>
      <w:proofErr w:type="spellStart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>Finances</w:t>
      </w:r>
      <w:proofErr w:type="spellEnd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in Poland and the EU </w:t>
      </w:r>
      <w:proofErr w:type="spellStart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>During</w:t>
      </w:r>
      <w:proofErr w:type="spellEnd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the Financial/Economic </w:t>
      </w:r>
      <w:proofErr w:type="spellStart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>Crisis</w:t>
      </w:r>
      <w:proofErr w:type="spellEnd"/>
      <w:r w:rsidRPr="001E429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in 2008-2010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Papers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Wroclaw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University of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E429C" w:rsidRDefault="001E429C" w:rsidP="001E4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75E25" w:rsidRPr="0037630A" w:rsidRDefault="007948EB" w:rsidP="00B7497E">
      <w:pPr>
        <w:rPr>
          <w:rFonts w:ascii="Times New Roman" w:hAnsi="Times New Roman" w:cs="Times New Roman"/>
          <w:sz w:val="24"/>
          <w:szCs w:val="24"/>
        </w:rPr>
      </w:pPr>
      <w:r w:rsidRPr="0071775A">
        <w:rPr>
          <w:rFonts w:ascii="Times New Roman" w:hAnsi="Times New Roman" w:cs="Times New Roman"/>
          <w:sz w:val="24"/>
          <w:szCs w:val="24"/>
          <w:lang w:val="pl-PL"/>
        </w:rPr>
        <w:t xml:space="preserve">Pietras, J. </w:t>
      </w:r>
      <w:proofErr w:type="spellStart"/>
      <w:r w:rsidRPr="0071775A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Pr="0071775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1775A">
        <w:rPr>
          <w:rFonts w:ascii="Times New Roman" w:hAnsi="Times New Roman" w:cs="Times New Roman"/>
          <w:sz w:val="24"/>
          <w:szCs w:val="24"/>
        </w:rPr>
        <w:t>Unii</w:t>
      </w:r>
      <w:proofErr w:type="spellEnd"/>
      <w:r w:rsidRPr="00717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75A">
        <w:rPr>
          <w:rFonts w:ascii="Times New Roman" w:hAnsi="Times New Roman" w:cs="Times New Roman"/>
          <w:sz w:val="24"/>
          <w:szCs w:val="24"/>
        </w:rPr>
        <w:t>Europejskiej</w:t>
      </w:r>
      <w:proofErr w:type="spellEnd"/>
      <w:r w:rsidRPr="0071775A">
        <w:rPr>
          <w:rFonts w:ascii="Times New Roman" w:hAnsi="Times New Roman" w:cs="Times New Roman"/>
          <w:sz w:val="24"/>
          <w:szCs w:val="24"/>
        </w:rPr>
        <w:t xml:space="preserve">. Jaki </w:t>
      </w:r>
      <w:proofErr w:type="spellStart"/>
      <w:r w:rsidRPr="0071775A">
        <w:rPr>
          <w:rFonts w:ascii="Times New Roman" w:hAnsi="Times New Roman" w:cs="Times New Roman"/>
          <w:sz w:val="24"/>
          <w:szCs w:val="24"/>
        </w:rPr>
        <w:t>wzrost</w:t>
      </w:r>
      <w:proofErr w:type="spellEnd"/>
      <w:r w:rsidRPr="00717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75A">
        <w:rPr>
          <w:rFonts w:ascii="Times New Roman" w:hAnsi="Times New Roman" w:cs="Times New Roman"/>
          <w:sz w:val="24"/>
          <w:szCs w:val="24"/>
        </w:rPr>
        <w:t>gospodarczy</w:t>
      </w:r>
      <w:proofErr w:type="spellEnd"/>
      <w:r w:rsidRPr="0071775A">
        <w:rPr>
          <w:rFonts w:ascii="Times New Roman" w:hAnsi="Times New Roman" w:cs="Times New Roman"/>
          <w:sz w:val="24"/>
          <w:szCs w:val="24"/>
        </w:rPr>
        <w:t>?</w:t>
      </w:r>
      <w:r w:rsidR="00B350B4">
        <w:rPr>
          <w:rFonts w:ascii="Times New Roman" w:hAnsi="Times New Roman" w:cs="Times New Roman"/>
          <w:sz w:val="24"/>
          <w:szCs w:val="24"/>
        </w:rPr>
        <w:t xml:space="preserve"> [w:] </w:t>
      </w:r>
      <w:r w:rsidR="0037630A" w:rsidRPr="0037630A">
        <w:rPr>
          <w:rFonts w:ascii="Times New Roman" w:hAnsi="Times New Roman" w:cs="Times New Roman"/>
          <w:i/>
          <w:sz w:val="24"/>
          <w:szCs w:val="24"/>
        </w:rPr>
        <w:t xml:space="preserve">ZESZYTY BRE Bank-CASE </w:t>
      </w:r>
      <w:proofErr w:type="spellStart"/>
      <w:r w:rsidR="0037630A" w:rsidRPr="0037630A">
        <w:rPr>
          <w:rFonts w:ascii="Times New Roman" w:hAnsi="Times New Roman" w:cs="Times New Roman"/>
          <w:i/>
          <w:sz w:val="24"/>
          <w:szCs w:val="24"/>
        </w:rPr>
        <w:t>Polska</w:t>
      </w:r>
      <w:proofErr w:type="spellEnd"/>
      <w:r w:rsidR="0037630A" w:rsidRPr="0037630A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="0037630A" w:rsidRPr="0037630A">
        <w:rPr>
          <w:rFonts w:ascii="Times New Roman" w:hAnsi="Times New Roman" w:cs="Times New Roman"/>
          <w:i/>
          <w:sz w:val="24"/>
          <w:szCs w:val="24"/>
        </w:rPr>
        <w:t>Unii</w:t>
      </w:r>
      <w:proofErr w:type="spellEnd"/>
      <w:r w:rsidR="0037630A" w:rsidRPr="00376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630A" w:rsidRPr="0037630A">
        <w:rPr>
          <w:rFonts w:ascii="Times New Roman" w:hAnsi="Times New Roman" w:cs="Times New Roman"/>
          <w:i/>
          <w:sz w:val="24"/>
          <w:szCs w:val="24"/>
        </w:rPr>
        <w:t>Europejskiej</w:t>
      </w:r>
      <w:proofErr w:type="spellEnd"/>
      <w:r w:rsidR="0037630A" w:rsidRPr="0037630A">
        <w:rPr>
          <w:rFonts w:ascii="Times New Roman" w:hAnsi="Times New Roman" w:cs="Times New Roman"/>
          <w:i/>
          <w:sz w:val="24"/>
          <w:szCs w:val="24"/>
        </w:rPr>
        <w:t xml:space="preserve">. Jaki </w:t>
      </w:r>
      <w:proofErr w:type="spellStart"/>
      <w:r w:rsidR="0037630A" w:rsidRPr="0037630A">
        <w:rPr>
          <w:rFonts w:ascii="Times New Roman" w:hAnsi="Times New Roman" w:cs="Times New Roman"/>
          <w:i/>
          <w:sz w:val="24"/>
          <w:szCs w:val="24"/>
        </w:rPr>
        <w:t>wzrost</w:t>
      </w:r>
      <w:proofErr w:type="spellEnd"/>
      <w:r w:rsidR="0037630A" w:rsidRPr="00376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630A" w:rsidRPr="0037630A">
        <w:rPr>
          <w:rFonts w:ascii="Times New Roman" w:hAnsi="Times New Roman" w:cs="Times New Roman"/>
          <w:i/>
          <w:sz w:val="24"/>
          <w:szCs w:val="24"/>
        </w:rPr>
        <w:t>gospodarczy</w:t>
      </w:r>
      <w:proofErr w:type="spellEnd"/>
      <w:r w:rsidR="0037630A" w:rsidRPr="0037630A">
        <w:rPr>
          <w:rFonts w:ascii="Times New Roman" w:hAnsi="Times New Roman" w:cs="Times New Roman"/>
          <w:i/>
          <w:sz w:val="24"/>
          <w:szCs w:val="24"/>
        </w:rPr>
        <w:t>?</w:t>
      </w:r>
      <w:r w:rsidR="0037630A">
        <w:rPr>
          <w:rFonts w:ascii="Times New Roman" w:hAnsi="Times New Roman" w:cs="Times New Roman"/>
          <w:sz w:val="24"/>
          <w:szCs w:val="24"/>
        </w:rPr>
        <w:t>. CASE, Warszawa.</w:t>
      </w:r>
    </w:p>
    <w:p w:rsidR="0050549F" w:rsidRPr="0050549F" w:rsidRDefault="0050549F" w:rsidP="00B7497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59A3">
        <w:rPr>
          <w:rFonts w:ascii="Times New Roman" w:hAnsi="Times New Roman" w:cs="Times New Roman"/>
          <w:sz w:val="24"/>
          <w:szCs w:val="24"/>
          <w:lang w:val="pl-PL"/>
        </w:rPr>
        <w:t>Wojciechowski</w:t>
      </w:r>
      <w:r>
        <w:rPr>
          <w:rFonts w:ascii="Times New Roman" w:hAnsi="Times New Roman" w:cs="Times New Roman"/>
          <w:sz w:val="24"/>
          <w:szCs w:val="24"/>
          <w:lang w:val="pl-PL"/>
        </w:rPr>
        <w:t>, L. &amp;</w:t>
      </w:r>
      <w:r w:rsidRPr="002959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Lubacha-Sember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J. 2013. </w:t>
      </w:r>
      <w:r w:rsidRPr="0050549F">
        <w:rPr>
          <w:rFonts w:ascii="Times New Roman" w:hAnsi="Times New Roman" w:cs="Times New Roman"/>
          <w:i/>
          <w:sz w:val="24"/>
          <w:szCs w:val="24"/>
          <w:lang w:val="pl-PL"/>
        </w:rPr>
        <w:t>Uwarunkowania przepływu polskich bezpośrednich inwestycji zagranicznych do krajów Unii Europejskiej. Model grawitacyjny z wykorzystaniem danych panelowych.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Ekonomia Międzynarodowa, nr.7.</w:t>
      </w:r>
    </w:p>
    <w:p w:rsidR="00075E25" w:rsidRPr="0071775A" w:rsidRDefault="00D90A26" w:rsidP="00B7497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16FCE">
        <w:rPr>
          <w:rFonts w:ascii="Times New Roman" w:hAnsi="Times New Roman" w:cs="Times New Roman"/>
          <w:sz w:val="24"/>
          <w:szCs w:val="24"/>
          <w:lang w:val="pl-PL"/>
        </w:rPr>
        <w:t>Zielińska-Głębocka</w:t>
      </w:r>
      <w:r w:rsidR="00B350B4">
        <w:rPr>
          <w:rFonts w:ascii="Times New Roman" w:hAnsi="Times New Roman" w:cs="Times New Roman"/>
          <w:sz w:val="24"/>
          <w:szCs w:val="24"/>
          <w:lang w:val="pl-PL"/>
        </w:rPr>
        <w:t>, A.</w:t>
      </w:r>
      <w:r w:rsidRPr="00216FCE">
        <w:rPr>
          <w:rFonts w:ascii="Times New Roman" w:hAnsi="Times New Roman" w:cs="Times New Roman"/>
          <w:sz w:val="24"/>
          <w:szCs w:val="24"/>
          <w:lang w:val="pl-PL"/>
        </w:rPr>
        <w:t xml:space="preserve"> 2012</w:t>
      </w:r>
      <w:r w:rsidR="00B350B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350B4" w:rsidRPr="00B350B4">
        <w:rPr>
          <w:rFonts w:ascii="Times New Roman" w:hAnsi="Times New Roman" w:cs="Times New Roman"/>
          <w:i/>
          <w:sz w:val="24"/>
          <w:szCs w:val="24"/>
          <w:lang w:val="pl-PL"/>
        </w:rPr>
        <w:t>Współczesna gospodarka światowa</w:t>
      </w:r>
      <w:r w:rsidR="00B350B4">
        <w:rPr>
          <w:rFonts w:ascii="Times New Roman" w:hAnsi="Times New Roman" w:cs="Times New Roman"/>
          <w:sz w:val="24"/>
          <w:szCs w:val="24"/>
          <w:lang w:val="pl-PL"/>
        </w:rPr>
        <w:t xml:space="preserve">. Oficyna, Warszawa. </w:t>
      </w:r>
    </w:p>
    <w:p w:rsidR="007E0D8D" w:rsidRDefault="007E0D8D" w:rsidP="007E0D8D">
      <w:pPr>
        <w:rPr>
          <w:rFonts w:ascii="Arial-Black" w:eastAsia="Arial-Black" w:cs="Arial-Black"/>
          <w:sz w:val="32"/>
          <w:szCs w:val="32"/>
          <w:lang w:val="pl-PL"/>
        </w:rPr>
      </w:pPr>
    </w:p>
    <w:p w:rsidR="00B748E4" w:rsidRDefault="00B748E4" w:rsidP="007E0D8D">
      <w:pPr>
        <w:rPr>
          <w:rFonts w:ascii="TimesNewRoman,Bold" w:hAnsi="TimesNewRoman,Bold" w:cs="TimesNewRoman,Bold"/>
          <w:b/>
          <w:bCs/>
          <w:sz w:val="28"/>
          <w:szCs w:val="28"/>
          <w:lang w:val="pl-PL"/>
        </w:rPr>
      </w:pPr>
    </w:p>
    <w:p w:rsidR="00B748E4" w:rsidRDefault="00B748E4" w:rsidP="007E0D8D">
      <w:pPr>
        <w:rPr>
          <w:lang w:val="pl-PL"/>
        </w:rPr>
      </w:pPr>
    </w:p>
    <w:p w:rsidR="002959A3" w:rsidRDefault="002959A3" w:rsidP="007E0D8D">
      <w:pPr>
        <w:rPr>
          <w:lang w:val="pl-PL"/>
        </w:rPr>
      </w:pPr>
    </w:p>
    <w:sectPr w:rsidR="0029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C19" w:rsidRDefault="001F6C19" w:rsidP="00711C56">
      <w:pPr>
        <w:spacing w:after="0" w:line="240" w:lineRule="auto"/>
      </w:pPr>
      <w:r>
        <w:separator/>
      </w:r>
    </w:p>
  </w:endnote>
  <w:endnote w:type="continuationSeparator" w:id="0">
    <w:p w:rsidR="001F6C19" w:rsidRDefault="001F6C19" w:rsidP="0071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BC" w:rsidRDefault="00CD3BBC">
    <w:pPr>
      <w:pStyle w:val="Stopka"/>
      <w:jc w:val="right"/>
    </w:pPr>
  </w:p>
  <w:p w:rsidR="00CD3BBC" w:rsidRDefault="00CD3B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86835"/>
      <w:docPartObj>
        <w:docPartGallery w:val="Page Numbers (Bottom of Page)"/>
        <w:docPartUnique/>
      </w:docPartObj>
    </w:sdtPr>
    <w:sdtContent>
      <w:p w:rsidR="00CD3BBC" w:rsidRDefault="00CD3B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CD3BBC" w:rsidRDefault="00CD3B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C19" w:rsidRDefault="001F6C19" w:rsidP="00711C56">
      <w:pPr>
        <w:spacing w:after="0" w:line="240" w:lineRule="auto"/>
      </w:pPr>
      <w:r>
        <w:separator/>
      </w:r>
    </w:p>
  </w:footnote>
  <w:footnote w:type="continuationSeparator" w:id="0">
    <w:p w:rsidR="001F6C19" w:rsidRDefault="001F6C19" w:rsidP="00711C56">
      <w:pPr>
        <w:spacing w:after="0" w:line="240" w:lineRule="auto"/>
      </w:pPr>
      <w:r>
        <w:continuationSeparator/>
      </w:r>
    </w:p>
  </w:footnote>
  <w:footnote w:id="1">
    <w:p w:rsidR="00E27625" w:rsidRPr="00E27625" w:rsidRDefault="00E27625" w:rsidP="00E27625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E27625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E27625">
        <w:rPr>
          <w:rFonts w:ascii="Times New Roman" w:hAnsi="Times New Roman" w:cs="Times New Roman"/>
          <w:lang w:val="pl-PL"/>
        </w:rPr>
        <w:t xml:space="preserve"> Sondaż CBOS z 2017 roku wykazał, ze 22% osób w wieku 18-20 lat jest przeciwnikami przynależności Polski do UE (CBOS 2017).</w:t>
      </w:r>
    </w:p>
  </w:footnote>
  <w:footnote w:id="2">
    <w:p w:rsidR="009E20F4" w:rsidRPr="00291724" w:rsidRDefault="009E20F4" w:rsidP="00E27625">
      <w:pPr>
        <w:pStyle w:val="Tekstprzypisudolnego"/>
        <w:jc w:val="both"/>
        <w:rPr>
          <w:lang w:val="pl-PL"/>
        </w:rPr>
      </w:pPr>
      <w:r w:rsidRPr="00E27625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E27625">
        <w:rPr>
          <w:rFonts w:ascii="Times New Roman" w:hAnsi="Times New Roman" w:cs="Times New Roman"/>
          <w:lang w:val="pl-PL"/>
        </w:rPr>
        <w:t xml:space="preserve"> Przyjęcie takiego podziału do pewnego stopnia odzwierciedla obecną w Nowej Ekonomii Instytucjonalnej tendencję do </w:t>
      </w:r>
      <w:r w:rsidR="00AC11AB" w:rsidRPr="00E27625">
        <w:rPr>
          <w:rFonts w:ascii="Times New Roman" w:hAnsi="Times New Roman" w:cs="Times New Roman"/>
          <w:lang w:val="pl-PL"/>
        </w:rPr>
        <w:t>separacji</w:t>
      </w:r>
      <w:r w:rsidRPr="00E27625">
        <w:rPr>
          <w:rFonts w:ascii="Times New Roman" w:hAnsi="Times New Roman" w:cs="Times New Roman"/>
          <w:lang w:val="pl-PL"/>
        </w:rPr>
        <w:t xml:space="preserve"> instytucji ekonomicznych od politycznych (por. </w:t>
      </w:r>
      <w:proofErr w:type="spellStart"/>
      <w:r w:rsidRPr="00E27625">
        <w:rPr>
          <w:rFonts w:ascii="Times New Roman" w:hAnsi="Times New Roman" w:cs="Times New Roman"/>
          <w:lang w:val="pl-PL"/>
        </w:rPr>
        <w:t>Acemoglu</w:t>
      </w:r>
      <w:proofErr w:type="spellEnd"/>
      <w:r w:rsidRPr="00E27625">
        <w:rPr>
          <w:rFonts w:ascii="Times New Roman" w:hAnsi="Times New Roman" w:cs="Times New Roman"/>
          <w:lang w:val="pl-PL"/>
        </w:rPr>
        <w:t xml:space="preserve"> &amp; </w:t>
      </w:r>
      <w:r w:rsidR="00AC11AB" w:rsidRPr="00E27625">
        <w:rPr>
          <w:rFonts w:ascii="Times New Roman" w:hAnsi="Times New Roman" w:cs="Times New Roman"/>
          <w:lang w:val="pl-PL"/>
        </w:rPr>
        <w:t>Johnson</w:t>
      </w:r>
      <w:r w:rsidR="00E27625">
        <w:rPr>
          <w:rFonts w:ascii="Times New Roman" w:hAnsi="Times New Roman" w:cs="Times New Roman"/>
          <w:lang w:val="pl-PL"/>
        </w:rPr>
        <w:t xml:space="preserve"> 2005; </w:t>
      </w:r>
      <w:proofErr w:type="spellStart"/>
      <w:r w:rsidR="00E27625">
        <w:rPr>
          <w:rFonts w:ascii="Times New Roman" w:hAnsi="Times New Roman" w:cs="Times New Roman"/>
          <w:lang w:val="pl-PL"/>
        </w:rPr>
        <w:t>Hartwell</w:t>
      </w:r>
      <w:proofErr w:type="spellEnd"/>
      <w:r w:rsidRPr="00E27625">
        <w:rPr>
          <w:rFonts w:ascii="Times New Roman" w:hAnsi="Times New Roman" w:cs="Times New Roman"/>
          <w:lang w:val="pl-PL"/>
        </w:rPr>
        <w:t xml:space="preserve"> 2013). </w:t>
      </w:r>
    </w:p>
  </w:footnote>
  <w:footnote w:id="3">
    <w:p w:rsidR="009E20F4" w:rsidRPr="00A8280C" w:rsidRDefault="009E20F4" w:rsidP="00A8280C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A8280C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A8280C">
        <w:rPr>
          <w:rFonts w:ascii="Times New Roman" w:hAnsi="Times New Roman" w:cs="Times New Roman"/>
          <w:lang w:val="pl-PL"/>
        </w:rPr>
        <w:t xml:space="preserve"> </w:t>
      </w:r>
      <w:r w:rsidR="00A8280C" w:rsidRPr="00A8280C">
        <w:rPr>
          <w:rFonts w:ascii="Times New Roman" w:hAnsi="Times New Roman" w:cs="Times New Roman"/>
          <w:lang w:val="pl-PL"/>
        </w:rPr>
        <w:t xml:space="preserve">Dane potwierdzają więc wystąpienie zjawiska kreacji handlu, lecz </w:t>
      </w:r>
      <w:r w:rsidR="00216FCE">
        <w:rPr>
          <w:rFonts w:ascii="Times New Roman" w:hAnsi="Times New Roman" w:cs="Times New Roman"/>
          <w:lang w:val="pl-PL"/>
        </w:rPr>
        <w:t>tylko w ograniczonym stopniu</w:t>
      </w:r>
      <w:r w:rsidR="00A8280C" w:rsidRPr="00A8280C">
        <w:rPr>
          <w:rFonts w:ascii="Times New Roman" w:hAnsi="Times New Roman" w:cs="Times New Roman"/>
          <w:lang w:val="pl-PL"/>
        </w:rPr>
        <w:t xml:space="preserve"> zjawiska przesunięcia</w:t>
      </w:r>
      <w:r w:rsidR="00417038">
        <w:rPr>
          <w:rFonts w:ascii="Times New Roman" w:hAnsi="Times New Roman" w:cs="Times New Roman"/>
          <w:lang w:val="pl-PL"/>
        </w:rPr>
        <w:t xml:space="preserve"> handlu</w:t>
      </w:r>
      <w:r w:rsidR="00A8280C" w:rsidRPr="00A8280C">
        <w:rPr>
          <w:rFonts w:ascii="Times New Roman" w:hAnsi="Times New Roman" w:cs="Times New Roman"/>
          <w:lang w:val="pl-PL"/>
        </w:rPr>
        <w:t>. Może to być spowodowane przez fakt, że zewnętrzne cła UE były w wielu przypadkach niższe niż polskie (Pietras 2003).</w:t>
      </w:r>
      <w:r w:rsidR="003C07CA">
        <w:rPr>
          <w:rFonts w:ascii="Times New Roman" w:hAnsi="Times New Roman" w:cs="Times New Roman"/>
          <w:lang w:val="pl-PL"/>
        </w:rPr>
        <w:t xml:space="preserve"> </w:t>
      </w:r>
    </w:p>
  </w:footnote>
  <w:footnote w:id="4">
    <w:p w:rsidR="00D90A26" w:rsidRPr="00D90A26" w:rsidRDefault="00D90A26" w:rsidP="00D90A26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D90A26">
        <w:rPr>
          <w:rStyle w:val="Odwoanieprzypisudolnego"/>
          <w:rFonts w:ascii="Times New Roman" w:hAnsi="Times New Roman" w:cs="Times New Roman"/>
        </w:rPr>
        <w:footnoteRef/>
      </w:r>
      <w:r w:rsidRPr="00D90A26">
        <w:rPr>
          <w:rFonts w:ascii="Times New Roman" w:hAnsi="Times New Roman" w:cs="Times New Roman"/>
        </w:rPr>
        <w:t xml:space="preserve"> </w:t>
      </w:r>
      <w:r w:rsidRPr="00D90A26">
        <w:rPr>
          <w:rFonts w:ascii="Times New Roman" w:hAnsi="Times New Roman" w:cs="Times New Roman"/>
          <w:lang w:val="pl-PL"/>
        </w:rPr>
        <w:t xml:space="preserve">Za przykład może służyć niedawny kryzys zadłużeniowy UE. O synchronizacji cykli koniunkturalnych </w:t>
      </w:r>
      <w:r w:rsidR="003D135F">
        <w:rPr>
          <w:rFonts w:ascii="Times New Roman" w:hAnsi="Times New Roman" w:cs="Times New Roman"/>
          <w:lang w:val="pl-PL"/>
        </w:rPr>
        <w:t xml:space="preserve">między Polską a UE </w:t>
      </w:r>
      <w:r w:rsidRPr="00D90A26">
        <w:rPr>
          <w:rFonts w:ascii="Times New Roman" w:hAnsi="Times New Roman" w:cs="Times New Roman"/>
          <w:lang w:val="pl-PL"/>
        </w:rPr>
        <w:t xml:space="preserve">patrz Stefański (2008).  </w:t>
      </w:r>
    </w:p>
  </w:footnote>
  <w:footnote w:id="5">
    <w:p w:rsidR="009E20F4" w:rsidRPr="00B644DA" w:rsidRDefault="009E20F4" w:rsidP="008F2A6E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B644DA">
        <w:rPr>
          <w:rStyle w:val="Odwoanieprzypisudolnego"/>
          <w:rFonts w:ascii="Times New Roman" w:hAnsi="Times New Roman" w:cs="Times New Roman"/>
        </w:rPr>
        <w:footnoteRef/>
      </w:r>
      <w:r w:rsidRPr="00B644DA">
        <w:rPr>
          <w:rFonts w:ascii="Times New Roman" w:hAnsi="Times New Roman" w:cs="Times New Roman"/>
        </w:rPr>
        <w:t xml:space="preserve"> </w:t>
      </w:r>
      <w:proofErr w:type="spellStart"/>
      <w:r w:rsidRPr="00B644DA">
        <w:rPr>
          <w:rFonts w:ascii="Times New Roman" w:hAnsi="Times New Roman" w:cs="Times New Roman"/>
        </w:rPr>
        <w:t>Wyniki</w:t>
      </w:r>
      <w:proofErr w:type="spellEnd"/>
      <w:r w:rsidRPr="00B644DA">
        <w:rPr>
          <w:rFonts w:ascii="Times New Roman" w:hAnsi="Times New Roman" w:cs="Times New Roman"/>
        </w:rPr>
        <w:t xml:space="preserve"> </w:t>
      </w:r>
      <w:proofErr w:type="spellStart"/>
      <w:r w:rsidRPr="00B644DA">
        <w:rPr>
          <w:rFonts w:ascii="Times New Roman" w:hAnsi="Times New Roman" w:cs="Times New Roman"/>
        </w:rPr>
        <w:t>badań</w:t>
      </w:r>
      <w:proofErr w:type="spellEnd"/>
      <w:r w:rsidRPr="00B644DA">
        <w:rPr>
          <w:rFonts w:ascii="Times New Roman" w:hAnsi="Times New Roman" w:cs="Times New Roman"/>
        </w:rPr>
        <w:t xml:space="preserve"> </w:t>
      </w:r>
      <w:proofErr w:type="spellStart"/>
      <w:r w:rsidRPr="00B644DA">
        <w:rPr>
          <w:rFonts w:ascii="Times New Roman" w:hAnsi="Times New Roman" w:cs="Times New Roman"/>
        </w:rPr>
        <w:t>skuteczności</w:t>
      </w:r>
      <w:proofErr w:type="spellEnd"/>
      <w:r w:rsidRPr="00B644DA">
        <w:rPr>
          <w:rFonts w:ascii="Times New Roman" w:hAnsi="Times New Roman" w:cs="Times New Roman"/>
        </w:rPr>
        <w:t xml:space="preserve"> </w:t>
      </w:r>
      <w:proofErr w:type="spellStart"/>
      <w:r w:rsidRPr="00B644DA">
        <w:rPr>
          <w:rFonts w:ascii="Times New Roman" w:hAnsi="Times New Roman" w:cs="Times New Roman"/>
        </w:rPr>
        <w:t>programów</w:t>
      </w:r>
      <w:proofErr w:type="spellEnd"/>
      <w:r w:rsidRPr="00B644DA">
        <w:rPr>
          <w:rFonts w:ascii="Times New Roman" w:hAnsi="Times New Roman" w:cs="Times New Roman"/>
        </w:rPr>
        <w:t xml:space="preserve"> </w:t>
      </w:r>
      <w:proofErr w:type="spellStart"/>
      <w:r w:rsidRPr="00B644DA">
        <w:rPr>
          <w:rFonts w:ascii="Times New Roman" w:hAnsi="Times New Roman" w:cs="Times New Roman"/>
        </w:rPr>
        <w:t>strukturalnych</w:t>
      </w:r>
      <w:proofErr w:type="spellEnd"/>
      <w:r w:rsidRPr="00B644DA">
        <w:rPr>
          <w:rFonts w:ascii="Times New Roman" w:hAnsi="Times New Roman" w:cs="Times New Roman"/>
        </w:rPr>
        <w:t xml:space="preserve"> UE </w:t>
      </w:r>
      <w:r w:rsidR="00B644DA">
        <w:rPr>
          <w:rFonts w:ascii="Times New Roman" w:hAnsi="Times New Roman" w:cs="Times New Roman"/>
        </w:rPr>
        <w:t xml:space="preserve">w </w:t>
      </w:r>
      <w:proofErr w:type="spellStart"/>
      <w:r w:rsidR="00B644DA">
        <w:rPr>
          <w:rFonts w:ascii="Times New Roman" w:hAnsi="Times New Roman" w:cs="Times New Roman"/>
        </w:rPr>
        <w:t>realizacji</w:t>
      </w:r>
      <w:proofErr w:type="spellEnd"/>
      <w:r w:rsidR="00B644DA">
        <w:rPr>
          <w:rFonts w:ascii="Times New Roman" w:hAnsi="Times New Roman" w:cs="Times New Roman"/>
        </w:rPr>
        <w:t xml:space="preserve"> </w:t>
      </w:r>
      <w:proofErr w:type="spellStart"/>
      <w:r w:rsidR="00B644DA">
        <w:rPr>
          <w:rFonts w:ascii="Times New Roman" w:hAnsi="Times New Roman" w:cs="Times New Roman"/>
        </w:rPr>
        <w:t>założonych</w:t>
      </w:r>
      <w:proofErr w:type="spellEnd"/>
      <w:r w:rsidR="00B644DA">
        <w:rPr>
          <w:rFonts w:ascii="Times New Roman" w:hAnsi="Times New Roman" w:cs="Times New Roman"/>
        </w:rPr>
        <w:t xml:space="preserve"> </w:t>
      </w:r>
      <w:proofErr w:type="spellStart"/>
      <w:r w:rsidR="00B644DA">
        <w:rPr>
          <w:rFonts w:ascii="Times New Roman" w:hAnsi="Times New Roman" w:cs="Times New Roman"/>
        </w:rPr>
        <w:t>celów</w:t>
      </w:r>
      <w:proofErr w:type="spellEnd"/>
      <w:r w:rsidR="00B644DA">
        <w:rPr>
          <w:rFonts w:ascii="Times New Roman" w:hAnsi="Times New Roman" w:cs="Times New Roman"/>
        </w:rPr>
        <w:t xml:space="preserve"> </w:t>
      </w:r>
      <w:proofErr w:type="spellStart"/>
      <w:r w:rsidRPr="00B644DA">
        <w:rPr>
          <w:rFonts w:ascii="Times New Roman" w:hAnsi="Times New Roman" w:cs="Times New Roman"/>
        </w:rPr>
        <w:t>są</w:t>
      </w:r>
      <w:proofErr w:type="spellEnd"/>
      <w:r w:rsidRPr="00B644DA">
        <w:rPr>
          <w:rFonts w:ascii="Times New Roman" w:hAnsi="Times New Roman" w:cs="Times New Roman"/>
        </w:rPr>
        <w:t xml:space="preserve"> </w:t>
      </w:r>
      <w:proofErr w:type="spellStart"/>
      <w:r w:rsidRPr="00B644DA">
        <w:rPr>
          <w:rFonts w:ascii="Times New Roman" w:hAnsi="Times New Roman" w:cs="Times New Roman"/>
        </w:rPr>
        <w:t>mieszane</w:t>
      </w:r>
      <w:proofErr w:type="spellEnd"/>
      <w:r w:rsidRPr="00B644DA">
        <w:rPr>
          <w:rFonts w:ascii="Times New Roman" w:hAnsi="Times New Roman" w:cs="Times New Roman"/>
        </w:rPr>
        <w:t xml:space="preserve"> (Argüelles et al., 2011</w:t>
      </w:r>
      <w:r w:rsidRPr="00B644DA">
        <w:rPr>
          <w:rFonts w:ascii="Times New Roman" w:hAnsi="Times New Roman" w:cs="Times New Roman"/>
          <w:sz w:val="23"/>
          <w:szCs w:val="23"/>
          <w:lang w:val="pl-PL"/>
        </w:rPr>
        <w:t>).</w:t>
      </w:r>
    </w:p>
  </w:footnote>
  <w:footnote w:id="6">
    <w:p w:rsidR="009E20F4" w:rsidRPr="009F69E6" w:rsidRDefault="009E20F4" w:rsidP="009F69E6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9F69E6">
        <w:rPr>
          <w:rStyle w:val="Odwoanieprzypisudolnego"/>
          <w:rFonts w:ascii="Times New Roman" w:hAnsi="Times New Roman" w:cs="Times New Roman"/>
        </w:rPr>
        <w:footnoteRef/>
      </w:r>
      <w:r w:rsidRPr="009F69E6">
        <w:rPr>
          <w:rFonts w:ascii="Times New Roman" w:hAnsi="Times New Roman" w:cs="Times New Roman"/>
        </w:rPr>
        <w:t xml:space="preserve"> </w:t>
      </w:r>
      <w:r w:rsidRPr="009F69E6">
        <w:rPr>
          <w:rFonts w:ascii="Times New Roman" w:hAnsi="Times New Roman" w:cs="Times New Roman"/>
          <w:lang w:val="pl-PL"/>
        </w:rPr>
        <w:t>Na kluczowe znaczenie sposobu wykorzystania środków unijnych w rozwoju kraju członkowskiego zwraca uwagę Hubner (2003).</w:t>
      </w:r>
    </w:p>
  </w:footnote>
  <w:footnote w:id="7">
    <w:p w:rsidR="009E20F4" w:rsidRPr="00291724" w:rsidRDefault="009E20F4" w:rsidP="009F69E6">
      <w:pPr>
        <w:pStyle w:val="Tekstprzypisudolnego"/>
        <w:jc w:val="both"/>
        <w:rPr>
          <w:lang w:val="pl-PL"/>
        </w:rPr>
      </w:pPr>
      <w:r w:rsidRPr="009F69E6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9F69E6">
        <w:rPr>
          <w:rFonts w:ascii="Times New Roman" w:hAnsi="Times New Roman" w:cs="Times New Roman"/>
          <w:lang w:val="pl-PL"/>
        </w:rPr>
        <w:t xml:space="preserve"> Przykładowo, w podkategorii „</w:t>
      </w:r>
      <w:proofErr w:type="spellStart"/>
      <w:r w:rsidRPr="009F69E6">
        <w:rPr>
          <w:rFonts w:ascii="Times New Roman" w:hAnsi="Times New Roman" w:cs="Times New Roman"/>
          <w:lang w:val="pl-PL"/>
        </w:rPr>
        <w:t>Innovators</w:t>
      </w:r>
      <w:proofErr w:type="spellEnd"/>
      <w:r w:rsidRPr="009F69E6">
        <w:rPr>
          <w:rFonts w:ascii="Times New Roman" w:hAnsi="Times New Roman" w:cs="Times New Roman"/>
          <w:lang w:val="pl-PL"/>
        </w:rPr>
        <w:t xml:space="preserve">”, opisującej poziom innowacyjności małych i średnich przedsiębiorstw spadł z 25 do 2,2 </w:t>
      </w:r>
      <w:proofErr w:type="spellStart"/>
      <w:r w:rsidRPr="009F69E6">
        <w:rPr>
          <w:rFonts w:ascii="Times New Roman" w:hAnsi="Times New Roman" w:cs="Times New Roman"/>
          <w:lang w:val="pl-PL"/>
        </w:rPr>
        <w:t>puntków</w:t>
      </w:r>
      <w:proofErr w:type="spellEnd"/>
      <w:r w:rsidRPr="009F69E6">
        <w:rPr>
          <w:rFonts w:ascii="Times New Roman" w:hAnsi="Times New Roman" w:cs="Times New Roman"/>
          <w:lang w:val="pl-PL"/>
        </w:rPr>
        <w:t xml:space="preserve"> (średnia dla UE – 85,2).</w:t>
      </w:r>
      <w:r w:rsidRPr="00291724">
        <w:rPr>
          <w:lang w:val="pl-PL"/>
        </w:rPr>
        <w:t xml:space="preserve"> </w:t>
      </w:r>
    </w:p>
  </w:footnote>
  <w:footnote w:id="8">
    <w:p w:rsidR="009E20F4" w:rsidRPr="00D87034" w:rsidRDefault="009E20F4" w:rsidP="00807D0D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D87034">
        <w:rPr>
          <w:rStyle w:val="Odwoanieprzypisudolnego"/>
          <w:rFonts w:ascii="Times New Roman" w:hAnsi="Times New Roman" w:cs="Times New Roman"/>
        </w:rPr>
        <w:footnoteRef/>
      </w:r>
      <w:r w:rsidRPr="00D87034">
        <w:rPr>
          <w:rFonts w:ascii="Times New Roman" w:hAnsi="Times New Roman" w:cs="Times New Roman"/>
        </w:rPr>
        <w:t xml:space="preserve"> </w:t>
      </w:r>
      <w:r w:rsidRPr="00D87034">
        <w:rPr>
          <w:rFonts w:ascii="Times New Roman" w:hAnsi="Times New Roman" w:cs="Times New Roman"/>
          <w:lang w:val="pl-PL"/>
        </w:rPr>
        <w:t>FOR oszacował wielkość wsparcia dla rolnictwa na ok.</w:t>
      </w:r>
      <w:r w:rsidR="0008179E">
        <w:rPr>
          <w:rFonts w:ascii="Times New Roman" w:hAnsi="Times New Roman" w:cs="Times New Roman"/>
          <w:lang w:val="pl-PL"/>
        </w:rPr>
        <w:t xml:space="preserve"> </w:t>
      </w:r>
      <w:r w:rsidRPr="00D87034">
        <w:rPr>
          <w:rFonts w:ascii="Times New Roman" w:hAnsi="Times New Roman" w:cs="Times New Roman"/>
          <w:lang w:val="pl-PL"/>
        </w:rPr>
        <w:t>2% PKB, przy 4% PKB całkowitej wartości dodanej wytworzonej przez ten sektor (Łaszek 2015).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84E"/>
    <w:multiLevelType w:val="hybridMultilevel"/>
    <w:tmpl w:val="B0A2DDB0"/>
    <w:lvl w:ilvl="0" w:tplc="8168F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34431"/>
    <w:multiLevelType w:val="hybridMultilevel"/>
    <w:tmpl w:val="DA466570"/>
    <w:lvl w:ilvl="0" w:tplc="1EA63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F525C"/>
    <w:multiLevelType w:val="hybridMultilevel"/>
    <w:tmpl w:val="C64042F4"/>
    <w:lvl w:ilvl="0" w:tplc="EB129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67C7C"/>
    <w:multiLevelType w:val="multilevel"/>
    <w:tmpl w:val="A9CA1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8555813"/>
    <w:multiLevelType w:val="hybridMultilevel"/>
    <w:tmpl w:val="C63EF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94FC5"/>
    <w:multiLevelType w:val="hybridMultilevel"/>
    <w:tmpl w:val="BCDA7144"/>
    <w:lvl w:ilvl="0" w:tplc="6FAC9EE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3332A"/>
    <w:multiLevelType w:val="hybridMultilevel"/>
    <w:tmpl w:val="C63EF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3A"/>
    <w:rsid w:val="0002203B"/>
    <w:rsid w:val="0003294A"/>
    <w:rsid w:val="00036631"/>
    <w:rsid w:val="00061469"/>
    <w:rsid w:val="000653DC"/>
    <w:rsid w:val="00075E25"/>
    <w:rsid w:val="000800C9"/>
    <w:rsid w:val="0008179E"/>
    <w:rsid w:val="000834CC"/>
    <w:rsid w:val="00085A14"/>
    <w:rsid w:val="00096696"/>
    <w:rsid w:val="000C3675"/>
    <w:rsid w:val="000C5DA6"/>
    <w:rsid w:val="000F0458"/>
    <w:rsid w:val="0011528D"/>
    <w:rsid w:val="00123B9B"/>
    <w:rsid w:val="0015134C"/>
    <w:rsid w:val="00186D65"/>
    <w:rsid w:val="001A3E23"/>
    <w:rsid w:val="001C0C95"/>
    <w:rsid w:val="001E429C"/>
    <w:rsid w:val="001F6C19"/>
    <w:rsid w:val="00200E0B"/>
    <w:rsid w:val="0020746F"/>
    <w:rsid w:val="00216FCE"/>
    <w:rsid w:val="00217E4E"/>
    <w:rsid w:val="002225E7"/>
    <w:rsid w:val="002705A4"/>
    <w:rsid w:val="00291724"/>
    <w:rsid w:val="002959A3"/>
    <w:rsid w:val="002A3153"/>
    <w:rsid w:val="002C3FAC"/>
    <w:rsid w:val="002F0C22"/>
    <w:rsid w:val="003163F3"/>
    <w:rsid w:val="00322694"/>
    <w:rsid w:val="00352DEB"/>
    <w:rsid w:val="003736A7"/>
    <w:rsid w:val="0037630A"/>
    <w:rsid w:val="003B0ACB"/>
    <w:rsid w:val="003C07CA"/>
    <w:rsid w:val="003D135F"/>
    <w:rsid w:val="003D2C7B"/>
    <w:rsid w:val="003D3C7F"/>
    <w:rsid w:val="00417038"/>
    <w:rsid w:val="00420320"/>
    <w:rsid w:val="00447A18"/>
    <w:rsid w:val="00455CA2"/>
    <w:rsid w:val="00466766"/>
    <w:rsid w:val="0049073A"/>
    <w:rsid w:val="004B6D0D"/>
    <w:rsid w:val="004C79CE"/>
    <w:rsid w:val="004D148D"/>
    <w:rsid w:val="0050549F"/>
    <w:rsid w:val="00512F57"/>
    <w:rsid w:val="00540C59"/>
    <w:rsid w:val="0055152B"/>
    <w:rsid w:val="00552084"/>
    <w:rsid w:val="00554B26"/>
    <w:rsid w:val="005570E3"/>
    <w:rsid w:val="00573BE6"/>
    <w:rsid w:val="00582CDB"/>
    <w:rsid w:val="0059287B"/>
    <w:rsid w:val="005D2C81"/>
    <w:rsid w:val="005E01A6"/>
    <w:rsid w:val="005E3457"/>
    <w:rsid w:val="00617221"/>
    <w:rsid w:val="0063180C"/>
    <w:rsid w:val="00632B0C"/>
    <w:rsid w:val="00655C79"/>
    <w:rsid w:val="00657C15"/>
    <w:rsid w:val="006A66D6"/>
    <w:rsid w:val="006D1D1A"/>
    <w:rsid w:val="00711C56"/>
    <w:rsid w:val="0071775A"/>
    <w:rsid w:val="00721689"/>
    <w:rsid w:val="00731CDB"/>
    <w:rsid w:val="00770391"/>
    <w:rsid w:val="00770D55"/>
    <w:rsid w:val="00784A25"/>
    <w:rsid w:val="007948EB"/>
    <w:rsid w:val="00794DA7"/>
    <w:rsid w:val="007C0C30"/>
    <w:rsid w:val="007D7076"/>
    <w:rsid w:val="007D726E"/>
    <w:rsid w:val="007E0D8D"/>
    <w:rsid w:val="007F1467"/>
    <w:rsid w:val="007F3596"/>
    <w:rsid w:val="007F47C9"/>
    <w:rsid w:val="00807D0D"/>
    <w:rsid w:val="00815F49"/>
    <w:rsid w:val="008422F0"/>
    <w:rsid w:val="00851A9F"/>
    <w:rsid w:val="00873E70"/>
    <w:rsid w:val="008973FB"/>
    <w:rsid w:val="008B15C2"/>
    <w:rsid w:val="008B4B51"/>
    <w:rsid w:val="008B6276"/>
    <w:rsid w:val="008F2A6E"/>
    <w:rsid w:val="008F40A4"/>
    <w:rsid w:val="00905C05"/>
    <w:rsid w:val="0099166B"/>
    <w:rsid w:val="009B50D6"/>
    <w:rsid w:val="009E1AF7"/>
    <w:rsid w:val="009E20F4"/>
    <w:rsid w:val="009E3A6D"/>
    <w:rsid w:val="009F69E6"/>
    <w:rsid w:val="00A468B8"/>
    <w:rsid w:val="00A8280C"/>
    <w:rsid w:val="00AB7399"/>
    <w:rsid w:val="00AC11AB"/>
    <w:rsid w:val="00AF2AB6"/>
    <w:rsid w:val="00B22AB6"/>
    <w:rsid w:val="00B350B4"/>
    <w:rsid w:val="00B37156"/>
    <w:rsid w:val="00B479A0"/>
    <w:rsid w:val="00B54212"/>
    <w:rsid w:val="00B60D7A"/>
    <w:rsid w:val="00B61D02"/>
    <w:rsid w:val="00B644DA"/>
    <w:rsid w:val="00B748E4"/>
    <w:rsid w:val="00B7497E"/>
    <w:rsid w:val="00B86D90"/>
    <w:rsid w:val="00B95334"/>
    <w:rsid w:val="00BD06FF"/>
    <w:rsid w:val="00BD1207"/>
    <w:rsid w:val="00BD3D2F"/>
    <w:rsid w:val="00BD6D78"/>
    <w:rsid w:val="00BF0C9C"/>
    <w:rsid w:val="00BF254E"/>
    <w:rsid w:val="00BF6A6F"/>
    <w:rsid w:val="00C12E00"/>
    <w:rsid w:val="00C45CC1"/>
    <w:rsid w:val="00C50C18"/>
    <w:rsid w:val="00C51D44"/>
    <w:rsid w:val="00C55FF1"/>
    <w:rsid w:val="00C5743E"/>
    <w:rsid w:val="00C775C0"/>
    <w:rsid w:val="00CA2A95"/>
    <w:rsid w:val="00CD2157"/>
    <w:rsid w:val="00CD3BBC"/>
    <w:rsid w:val="00D02604"/>
    <w:rsid w:val="00D37E83"/>
    <w:rsid w:val="00D44C97"/>
    <w:rsid w:val="00D51769"/>
    <w:rsid w:val="00D5433D"/>
    <w:rsid w:val="00D87034"/>
    <w:rsid w:val="00D878F1"/>
    <w:rsid w:val="00D90A26"/>
    <w:rsid w:val="00D95733"/>
    <w:rsid w:val="00DA5A70"/>
    <w:rsid w:val="00DC331D"/>
    <w:rsid w:val="00DD1E63"/>
    <w:rsid w:val="00E00627"/>
    <w:rsid w:val="00E0626C"/>
    <w:rsid w:val="00E0711F"/>
    <w:rsid w:val="00E2464B"/>
    <w:rsid w:val="00E27625"/>
    <w:rsid w:val="00E647E8"/>
    <w:rsid w:val="00EE3CDE"/>
    <w:rsid w:val="00F05D5B"/>
    <w:rsid w:val="00F42E05"/>
    <w:rsid w:val="00F43890"/>
    <w:rsid w:val="00F4621A"/>
    <w:rsid w:val="00F7009C"/>
    <w:rsid w:val="00F74B55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68D29"/>
  <w15:chartTrackingRefBased/>
  <w15:docId w15:val="{95EE6786-0956-4D60-A15D-24308917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7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B74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2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C5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1C5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48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48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748E4"/>
    <w:rPr>
      <w:color w:val="0000FF"/>
      <w:u w:val="single"/>
    </w:rPr>
  </w:style>
  <w:style w:type="paragraph" w:customStyle="1" w:styleId="note">
    <w:name w:val="note"/>
    <w:basedOn w:val="Normalny"/>
    <w:rsid w:val="00B7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09C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1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03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1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0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hyperlink" Target="https://papers.ssrn.com/sol3/papers.cfm?abstract_id=14883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usz\Desktop\Dane%20-%20KM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usz\Desktop\Dane%20-%20KM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usz\Desktop\Dane%20-%20KM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usz\Desktop\Dane%20-%20KM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usz\Desktop\Dane%20-%20KM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usz\Desktop\Dane%20-%20KM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usz\Desktop\Dane%20-%20KM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usz\Desktop\Dane%20-%20KM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56509238532069E-2"/>
          <c:y val="7.1348940914158304E-2"/>
          <c:w val="0.84323142509770777"/>
          <c:h val="0.688364868330288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GDP!$N$6</c:f>
              <c:strCache>
                <c:ptCount val="1"/>
                <c:pt idx="0">
                  <c:v>Realny wzrost PKB r/r, proc., lewa skala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GDP!$A$10:$A$30</c:f>
              <c:strCache>
                <c:ptCount val="21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</c:strCache>
            </c:strRef>
          </c:cat>
          <c:val>
            <c:numRef>
              <c:f>GDP!$E$10:$E$30</c:f>
              <c:numCache>
                <c:formatCode>General</c:formatCode>
                <c:ptCount val="21"/>
                <c:pt idx="0">
                  <c:v>6.0999999999999943</c:v>
                </c:pt>
                <c:pt idx="1">
                  <c:v>6.5</c:v>
                </c:pt>
                <c:pt idx="2">
                  <c:v>4.5999999999999943</c:v>
                </c:pt>
                <c:pt idx="3">
                  <c:v>4.5999999999999943</c:v>
                </c:pt>
                <c:pt idx="4">
                  <c:v>4.5999999999999943</c:v>
                </c:pt>
                <c:pt idx="5">
                  <c:v>1.2000000000000028</c:v>
                </c:pt>
                <c:pt idx="6">
                  <c:v>2</c:v>
                </c:pt>
                <c:pt idx="7">
                  <c:v>3.5999999999999943</c:v>
                </c:pt>
                <c:pt idx="8">
                  <c:v>5.0999999999999943</c:v>
                </c:pt>
                <c:pt idx="9">
                  <c:v>3.5</c:v>
                </c:pt>
                <c:pt idx="10">
                  <c:v>6.2000000000000028</c:v>
                </c:pt>
                <c:pt idx="11">
                  <c:v>7</c:v>
                </c:pt>
                <c:pt idx="12">
                  <c:v>4.2000000000000028</c:v>
                </c:pt>
                <c:pt idx="13">
                  <c:v>2.7999999999999972</c:v>
                </c:pt>
                <c:pt idx="14">
                  <c:v>3.5999999999999943</c:v>
                </c:pt>
                <c:pt idx="15">
                  <c:v>5</c:v>
                </c:pt>
                <c:pt idx="16">
                  <c:v>1.5999999999999943</c:v>
                </c:pt>
                <c:pt idx="17">
                  <c:v>1.4000000000000057</c:v>
                </c:pt>
                <c:pt idx="18">
                  <c:v>3.2999999999999972</c:v>
                </c:pt>
                <c:pt idx="19">
                  <c:v>3.7999999999999972</c:v>
                </c:pt>
                <c:pt idx="20">
                  <c:v>2.9000000000000057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84-41AB-ABB2-C4EB32F25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2854224"/>
        <c:axId val="395138944"/>
      </c:barChart>
      <c:lineChart>
        <c:grouping val="standard"/>
        <c:varyColors val="0"/>
        <c:ser>
          <c:idx val="1"/>
          <c:order val="1"/>
          <c:tx>
            <c:strRef>
              <c:f>GDP!$N$7</c:f>
              <c:strCache>
                <c:ptCount val="1"/>
                <c:pt idx="0">
                  <c:v>PKB per capita w PPS, USD, ceny stałe, prawa skala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GDP!$D$10:$D$30</c:f>
              <c:numCache>
                <c:formatCode>General</c:formatCode>
                <c:ptCount val="21"/>
                <c:pt idx="0">
                  <c:v>11868.999</c:v>
                </c:pt>
                <c:pt idx="1">
                  <c:v>12700.237999999999</c:v>
                </c:pt>
                <c:pt idx="2">
                  <c:v>13325.802</c:v>
                </c:pt>
                <c:pt idx="3">
                  <c:v>13926.171</c:v>
                </c:pt>
                <c:pt idx="4">
                  <c:v>14672.572</c:v>
                </c:pt>
                <c:pt idx="5">
                  <c:v>14853.048000000001</c:v>
                </c:pt>
                <c:pt idx="6">
                  <c:v>15072.075999999999</c:v>
                </c:pt>
                <c:pt idx="7">
                  <c:v>15618.682000000001</c:v>
                </c:pt>
                <c:pt idx="8">
                  <c:v>16432.806</c:v>
                </c:pt>
                <c:pt idx="9">
                  <c:v>17023.149000000001</c:v>
                </c:pt>
                <c:pt idx="10">
                  <c:v>18085.294000000002</c:v>
                </c:pt>
                <c:pt idx="11">
                  <c:v>19403.794999999998</c:v>
                </c:pt>
                <c:pt idx="12">
                  <c:v>20169.7</c:v>
                </c:pt>
                <c:pt idx="13">
                  <c:v>20690.027999999998</c:v>
                </c:pt>
                <c:pt idx="14">
                  <c:v>21519.093000000001</c:v>
                </c:pt>
                <c:pt idx="15">
                  <c:v>22574.958999999999</c:v>
                </c:pt>
                <c:pt idx="16">
                  <c:v>22937.005000000001</c:v>
                </c:pt>
                <c:pt idx="17">
                  <c:v>23256.787</c:v>
                </c:pt>
                <c:pt idx="18">
                  <c:v>24048.436000000002</c:v>
                </c:pt>
                <c:pt idx="19">
                  <c:v>24991.710999999999</c:v>
                </c:pt>
                <c:pt idx="20">
                  <c:v>25676.128000000001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184-41AB-ABB2-C4EB32F25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2862144"/>
        <c:axId val="1741590432"/>
      </c:lineChart>
      <c:catAx>
        <c:axId val="16285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395138944"/>
        <c:crosses val="autoZero"/>
        <c:auto val="1"/>
        <c:lblAlgn val="ctr"/>
        <c:lblOffset val="100"/>
        <c:noMultiLvlLbl val="0"/>
      </c:catAx>
      <c:valAx>
        <c:axId val="395138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62854224"/>
        <c:crosses val="autoZero"/>
        <c:crossBetween val="between"/>
      </c:valAx>
      <c:valAx>
        <c:axId val="174159043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742862144"/>
        <c:crosses val="max"/>
        <c:crossBetween val="between"/>
      </c:valAx>
      <c:catAx>
        <c:axId val="1742862144"/>
        <c:scaling>
          <c:orientation val="minMax"/>
        </c:scaling>
        <c:delete val="1"/>
        <c:axPos val="b"/>
        <c:majorTickMark val="out"/>
        <c:minorTickMark val="none"/>
        <c:tickLblPos val="nextTo"/>
        <c:crossAx val="17415904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6.6164691640185913E-4"/>
          <c:y val="0.81362320827324186"/>
          <c:w val="0.99668759098949611"/>
          <c:h val="0.186376791726758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60654527559055"/>
          <c:y val="0.142825522258584"/>
          <c:w val="0.82006623195538053"/>
          <c:h val="0.67975589071176101"/>
        </c:manualLayout>
      </c:layout>
      <c:lineChart>
        <c:grouping val="standard"/>
        <c:varyColors val="0"/>
        <c:ser>
          <c:idx val="0"/>
          <c:order val="0"/>
          <c:tx>
            <c:v>Wartość eksportu z Polski, mln USD</c:v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'Exports&amp;Imports'!$A$5:$A$30</c:f>
              <c:strCache>
                <c:ptCount val="26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</c:strCache>
            </c:strRef>
          </c:cat>
          <c:val>
            <c:numRef>
              <c:f>'Exports&amp;Imports'!$B$5:$B$30</c:f>
              <c:numCache>
                <c:formatCode>_-* #,##0\ _z_ł_-;\-* #,##0\ _z_ł_-;_-* "-"??\ _z_ł_-;_-@_-</c:formatCode>
                <c:ptCount val="26"/>
                <c:pt idx="0">
                  <c:v>14640</c:v>
                </c:pt>
                <c:pt idx="1">
                  <c:v>13340</c:v>
                </c:pt>
                <c:pt idx="2">
                  <c:v>14210</c:v>
                </c:pt>
                <c:pt idx="3">
                  <c:v>17170</c:v>
                </c:pt>
                <c:pt idx="4">
                  <c:v>23040</c:v>
                </c:pt>
                <c:pt idx="5">
                  <c:v>24550</c:v>
                </c:pt>
                <c:pt idx="6">
                  <c:v>25870</c:v>
                </c:pt>
                <c:pt idx="7">
                  <c:v>28440</c:v>
                </c:pt>
                <c:pt idx="8">
                  <c:v>27530</c:v>
                </c:pt>
                <c:pt idx="9">
                  <c:v>32000</c:v>
                </c:pt>
                <c:pt idx="10">
                  <c:v>36360</c:v>
                </c:pt>
                <c:pt idx="11">
                  <c:v>41260</c:v>
                </c:pt>
                <c:pt idx="12">
                  <c:v>54110</c:v>
                </c:pt>
                <c:pt idx="13">
                  <c:v>75280</c:v>
                </c:pt>
                <c:pt idx="14">
                  <c:v>90180</c:v>
                </c:pt>
                <c:pt idx="15">
                  <c:v>111990</c:v>
                </c:pt>
                <c:pt idx="16">
                  <c:v>141760</c:v>
                </c:pt>
                <c:pt idx="17">
                  <c:v>171700</c:v>
                </c:pt>
                <c:pt idx="18">
                  <c:v>137580</c:v>
                </c:pt>
                <c:pt idx="19">
                  <c:v>159660</c:v>
                </c:pt>
                <c:pt idx="20">
                  <c:v>189160</c:v>
                </c:pt>
                <c:pt idx="21">
                  <c:v>185690</c:v>
                </c:pt>
                <c:pt idx="22">
                  <c:v>204940</c:v>
                </c:pt>
                <c:pt idx="23">
                  <c:v>219870</c:v>
                </c:pt>
                <c:pt idx="24">
                  <c:v>198730</c:v>
                </c:pt>
                <c:pt idx="25">
                  <c:v>204050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72-4F25-A7DB-29115CE95C13}"/>
            </c:ext>
          </c:extLst>
        </c:ser>
        <c:ser>
          <c:idx val="1"/>
          <c:order val="1"/>
          <c:tx>
            <c:v>Wartość importu do Polski, mln USD</c:v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'Exports&amp;Imports'!$A$5:$A$30</c:f>
              <c:strCache>
                <c:ptCount val="26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</c:strCache>
            </c:strRef>
          </c:cat>
          <c:val>
            <c:numRef>
              <c:f>'Exports&amp;Imports'!$C$5:$C$30</c:f>
              <c:numCache>
                <c:formatCode>_-* #,##0\ _z_ł_-;\-* #,##0\ _z_ł_-;_-* "-"??\ _z_ł_-;_-@_-</c:formatCode>
                <c:ptCount val="26"/>
                <c:pt idx="0">
                  <c:v>15070</c:v>
                </c:pt>
                <c:pt idx="1">
                  <c:v>15970</c:v>
                </c:pt>
                <c:pt idx="2">
                  <c:v>18720</c:v>
                </c:pt>
                <c:pt idx="3">
                  <c:v>21420</c:v>
                </c:pt>
                <c:pt idx="4">
                  <c:v>29250</c:v>
                </c:pt>
                <c:pt idx="5">
                  <c:v>37160</c:v>
                </c:pt>
                <c:pt idx="6">
                  <c:v>42420</c:v>
                </c:pt>
                <c:pt idx="7">
                  <c:v>46800</c:v>
                </c:pt>
                <c:pt idx="8">
                  <c:v>45910</c:v>
                </c:pt>
                <c:pt idx="9">
                  <c:v>49470</c:v>
                </c:pt>
                <c:pt idx="10">
                  <c:v>50700</c:v>
                </c:pt>
                <c:pt idx="11">
                  <c:v>55360</c:v>
                </c:pt>
                <c:pt idx="12">
                  <c:v>68580</c:v>
                </c:pt>
                <c:pt idx="13">
                  <c:v>89600</c:v>
                </c:pt>
                <c:pt idx="14">
                  <c:v>102330</c:v>
                </c:pt>
                <c:pt idx="15">
                  <c:v>128310</c:v>
                </c:pt>
                <c:pt idx="16">
                  <c:v>167170</c:v>
                </c:pt>
                <c:pt idx="17">
                  <c:v>210230</c:v>
                </c:pt>
                <c:pt idx="18">
                  <c:v>150540</c:v>
                </c:pt>
                <c:pt idx="19">
                  <c:v>177860</c:v>
                </c:pt>
                <c:pt idx="20">
                  <c:v>211210</c:v>
                </c:pt>
                <c:pt idx="21">
                  <c:v>199670</c:v>
                </c:pt>
                <c:pt idx="22">
                  <c:v>207490</c:v>
                </c:pt>
                <c:pt idx="23">
                  <c:v>223390</c:v>
                </c:pt>
                <c:pt idx="24">
                  <c:v>196310</c:v>
                </c:pt>
                <c:pt idx="25">
                  <c:v>199700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72-4F25-A7DB-29115CE95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4375840"/>
        <c:axId val="234147488"/>
      </c:lineChart>
      <c:catAx>
        <c:axId val="22437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34147488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23414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_z_ł_-;\-* #,##0\ _z_ł_-;_-* &quot;-&quot;??\ _z_ł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2437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Eksport Polski do krajów UE, proc. </c:v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'Exports&amp;Imports'!$A$16:$A$30</c:f>
              <c:strCach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strCache>
            </c:strRef>
          </c:cat>
          <c:val>
            <c:numRef>
              <c:f>'Exports&amp;Imports'!$M$16:$M$30</c:f>
              <c:numCache>
                <c:formatCode>#,##0</c:formatCode>
                <c:ptCount val="15"/>
                <c:pt idx="0">
                  <c:v>81.400000000000006</c:v>
                </c:pt>
                <c:pt idx="1">
                  <c:v>82.2</c:v>
                </c:pt>
                <c:pt idx="2">
                  <c:v>80.599999999999994</c:v>
                </c:pt>
                <c:pt idx="3">
                  <c:v>78.900000000000006</c:v>
                </c:pt>
                <c:pt idx="4">
                  <c:v>79.3</c:v>
                </c:pt>
                <c:pt idx="5">
                  <c:v>79.2</c:v>
                </c:pt>
                <c:pt idx="6">
                  <c:v>78.099999999999994</c:v>
                </c:pt>
                <c:pt idx="7">
                  <c:v>79.900000000000006</c:v>
                </c:pt>
                <c:pt idx="8">
                  <c:v>79.3</c:v>
                </c:pt>
                <c:pt idx="9">
                  <c:v>78.2</c:v>
                </c:pt>
                <c:pt idx="10">
                  <c:v>76.2</c:v>
                </c:pt>
                <c:pt idx="11">
                  <c:v>75</c:v>
                </c:pt>
                <c:pt idx="12">
                  <c:v>77.400000000000006</c:v>
                </c:pt>
                <c:pt idx="13">
                  <c:v>79.3</c:v>
                </c:pt>
                <c:pt idx="14">
                  <c:v>79.599999999999994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90-43B4-BE66-8228970A2B56}"/>
            </c:ext>
          </c:extLst>
        </c:ser>
        <c:ser>
          <c:idx val="1"/>
          <c:order val="1"/>
          <c:tx>
            <c:v>Import do Polski z krajów UE, proc.</c:v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'Exports&amp;Imports'!$A$16:$A$30</c:f>
              <c:strCach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strCache>
            </c:strRef>
          </c:cat>
          <c:val>
            <c:numRef>
              <c:f>'Exports&amp;Imports'!$N$16:$N$30</c:f>
              <c:numCache>
                <c:formatCode>#,##0</c:formatCode>
                <c:ptCount val="15"/>
                <c:pt idx="0">
                  <c:v>69.8</c:v>
                </c:pt>
                <c:pt idx="1">
                  <c:v>69.7</c:v>
                </c:pt>
                <c:pt idx="2">
                  <c:v>75.400000000000006</c:v>
                </c:pt>
                <c:pt idx="3">
                  <c:v>75.400000000000006</c:v>
                </c:pt>
                <c:pt idx="4">
                  <c:v>73.099999999999994</c:v>
                </c:pt>
                <c:pt idx="5">
                  <c:v>73.400000000000006</c:v>
                </c:pt>
                <c:pt idx="6">
                  <c:v>71.900000000000006</c:v>
                </c:pt>
                <c:pt idx="7">
                  <c:v>72.7</c:v>
                </c:pt>
                <c:pt idx="8">
                  <c:v>70.8</c:v>
                </c:pt>
                <c:pt idx="9">
                  <c:v>70</c:v>
                </c:pt>
                <c:pt idx="10">
                  <c:v>67.7</c:v>
                </c:pt>
                <c:pt idx="11">
                  <c:v>69</c:v>
                </c:pt>
                <c:pt idx="12">
                  <c:v>69.599999999999994</c:v>
                </c:pt>
                <c:pt idx="13">
                  <c:v>70.7</c:v>
                </c:pt>
                <c:pt idx="14">
                  <c:v>72.099999999999994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90-43B4-BE66-8228970A2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479184"/>
        <c:axId val="117498496"/>
      </c:lineChart>
      <c:catAx>
        <c:axId val="17547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17498496"/>
        <c:crosses val="autoZero"/>
        <c:auto val="1"/>
        <c:lblAlgn val="ctr"/>
        <c:lblOffset val="100"/>
        <c:noMultiLvlLbl val="0"/>
      </c:catAx>
      <c:valAx>
        <c:axId val="117498496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7547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6854977112314"/>
          <c:y val="2.3848238482384824E-2"/>
          <c:w val="0.82967916889432547"/>
          <c:h val="0.72923765017177733"/>
        </c:manualLayout>
      </c:layout>
      <c:lineChart>
        <c:grouping val="standard"/>
        <c:varyColors val="0"/>
        <c:ser>
          <c:idx val="0"/>
          <c:order val="0"/>
          <c:tx>
            <c:v>BIZ, przypływy (mln USD)</c:v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FDI!$A$3:$A$24</c:f>
              <c:strCache>
                <c:ptCount val="22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</c:strCache>
            </c:strRef>
          </c:cat>
          <c:val>
            <c:numRef>
              <c:f>FDI!$B$3:$B$24</c:f>
              <c:numCache>
                <c:formatCode>_-* #,##0\ _z_ł_-;\-* #,##0\ _z_ł_-;_-* "-"??\ _z_ł_-;_-@_-</c:formatCode>
                <c:ptCount val="22"/>
                <c:pt idx="0">
                  <c:v>3658.14</c:v>
                </c:pt>
                <c:pt idx="1">
                  <c:v>4499.72</c:v>
                </c:pt>
                <c:pt idx="2">
                  <c:v>4913.79</c:v>
                </c:pt>
                <c:pt idx="3">
                  <c:v>6367.98</c:v>
                </c:pt>
                <c:pt idx="4">
                  <c:v>7275.75</c:v>
                </c:pt>
                <c:pt idx="5">
                  <c:v>9445.89</c:v>
                </c:pt>
                <c:pt idx="6">
                  <c:v>5696.82</c:v>
                </c:pt>
                <c:pt idx="7">
                  <c:v>4121.42</c:v>
                </c:pt>
                <c:pt idx="8">
                  <c:v>4588.26</c:v>
                </c:pt>
                <c:pt idx="9">
                  <c:v>12897.64</c:v>
                </c:pt>
                <c:pt idx="10">
                  <c:v>8206.9718165936902</c:v>
                </c:pt>
                <c:pt idx="11">
                  <c:v>14575.8985605052</c:v>
                </c:pt>
                <c:pt idx="12">
                  <c:v>19855.228622492301</c:v>
                </c:pt>
                <c:pt idx="13">
                  <c:v>12278.6560298361</c:v>
                </c:pt>
                <c:pt idx="14">
                  <c:v>10042.671894737899</c:v>
                </c:pt>
                <c:pt idx="15">
                  <c:v>12799.666056021601</c:v>
                </c:pt>
                <c:pt idx="16">
                  <c:v>15952.8687831761</c:v>
                </c:pt>
                <c:pt idx="17">
                  <c:v>12440.867158671599</c:v>
                </c:pt>
                <c:pt idx="18">
                  <c:v>3625.82666202576</c:v>
                </c:pt>
                <c:pt idx="19">
                  <c:v>17612.338712234101</c:v>
                </c:pt>
                <c:pt idx="20">
                  <c:v>13063.4183862925</c:v>
                </c:pt>
                <c:pt idx="21">
                  <c:v>11147.3847011993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10-446A-81F3-2DAC8DC12DBD}"/>
            </c:ext>
          </c:extLst>
        </c:ser>
        <c:ser>
          <c:idx val="1"/>
          <c:order val="1"/>
          <c:tx>
            <c:v>BIZ, odpływy (mln USD)</c:v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dk1">
                    <a:tint val="550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FDI!$A$3:$A$24</c:f>
              <c:strCache>
                <c:ptCount val="22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</c:strCache>
            </c:strRef>
          </c:cat>
          <c:val>
            <c:numRef>
              <c:f>FDI!$C$3:$C$24</c:f>
              <c:numCache>
                <c:formatCode>_-* #,##0\ _z_ł_-;\-* #,##0\ _z_ł_-;_-* "-"??\ _z_ł_-;_-@_-</c:formatCode>
                <c:ptCount val="22"/>
                <c:pt idx="0">
                  <c:v>42.06</c:v>
                </c:pt>
                <c:pt idx="1">
                  <c:v>53.05</c:v>
                </c:pt>
                <c:pt idx="2">
                  <c:v>45.16</c:v>
                </c:pt>
                <c:pt idx="3">
                  <c:v>316.14999999999998</c:v>
                </c:pt>
                <c:pt idx="4">
                  <c:v>31.03</c:v>
                </c:pt>
                <c:pt idx="5">
                  <c:v>17.260000000000002</c:v>
                </c:pt>
                <c:pt idx="6">
                  <c:v>-89.09</c:v>
                </c:pt>
                <c:pt idx="7">
                  <c:v>228.59</c:v>
                </c:pt>
                <c:pt idx="8">
                  <c:v>305.01</c:v>
                </c:pt>
                <c:pt idx="9">
                  <c:v>902.24</c:v>
                </c:pt>
                <c:pt idx="10">
                  <c:v>1347.35524269134</c:v>
                </c:pt>
                <c:pt idx="11">
                  <c:v>3857.0327638240701</c:v>
                </c:pt>
                <c:pt idx="12">
                  <c:v>1681.79355215655</c:v>
                </c:pt>
                <c:pt idx="13">
                  <c:v>1857.9265995220501</c:v>
                </c:pt>
                <c:pt idx="14">
                  <c:v>1806.9628761107101</c:v>
                </c:pt>
                <c:pt idx="15">
                  <c:v>6148.8118513441696</c:v>
                </c:pt>
                <c:pt idx="16">
                  <c:v>1028.23139601718</c:v>
                </c:pt>
                <c:pt idx="17">
                  <c:v>2905.0430504305</c:v>
                </c:pt>
                <c:pt idx="18">
                  <c:v>-451.25462772521598</c:v>
                </c:pt>
                <c:pt idx="19">
                  <c:v>4700.5674793139497</c:v>
                </c:pt>
                <c:pt idx="20">
                  <c:v>3171.7415521723001</c:v>
                </c:pt>
                <c:pt idx="21">
                  <c:v>6774.5746811693398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D10-446A-81F3-2DAC8DC12D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1016832"/>
        <c:axId val="230877488"/>
      </c:lineChart>
      <c:catAx>
        <c:axId val="16101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/>
            </a:solidFill>
            <a:prstDash val="dash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30877488"/>
        <c:crosses val="autoZero"/>
        <c:auto val="1"/>
        <c:lblAlgn val="ctr"/>
        <c:lblOffset val="100"/>
        <c:noMultiLvlLbl val="0"/>
      </c:catAx>
      <c:valAx>
        <c:axId val="230877488"/>
        <c:scaling>
          <c:orientation val="minMax"/>
          <c:min val="-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_z_ł_-;\-* #,##0\ _z_ł_-;_-* &quot;-&quot;??\ _z_ł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6101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666858862321868E-4"/>
          <c:y val="0.8473724379958123"/>
          <c:w val="0.99989333141137682"/>
          <c:h val="0.152620532189573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Skumulowana wartość BIZ firm z krajów UE w Polsce (mln EUR)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FDI!$A$7:$A$20</c:f>
              <c:strCache>
                <c:ptCount val="1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</c:strCache>
            </c:strRef>
          </c:cat>
          <c:val>
            <c:numRef>
              <c:f>FDI!$K$7:$K$20</c:f>
              <c:numCache>
                <c:formatCode>#,##0</c:formatCode>
                <c:ptCount val="14"/>
                <c:pt idx="0">
                  <c:v>20647</c:v>
                </c:pt>
                <c:pt idx="1">
                  <c:v>29169</c:v>
                </c:pt>
                <c:pt idx="2">
                  <c:v>38341</c:v>
                </c:pt>
                <c:pt idx="3">
                  <c:v>37739</c:v>
                </c:pt>
                <c:pt idx="4">
                  <c:v>38201</c:v>
                </c:pt>
                <c:pt idx="5">
                  <c:v>54225</c:v>
                </c:pt>
                <c:pt idx="6">
                  <c:v>65299</c:v>
                </c:pt>
                <c:pt idx="7">
                  <c:v>80989</c:v>
                </c:pt>
                <c:pt idx="8">
                  <c:v>102107</c:v>
                </c:pt>
                <c:pt idx="9">
                  <c:v>100030</c:v>
                </c:pt>
                <c:pt idx="10">
                  <c:v>109907</c:v>
                </c:pt>
                <c:pt idx="11">
                  <c:v>135602</c:v>
                </c:pt>
                <c:pt idx="12">
                  <c:v>136702</c:v>
                </c:pt>
                <c:pt idx="13">
                  <c:v>156859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09-46F0-8B25-8E2335AD40E5}"/>
            </c:ext>
          </c:extLst>
        </c:ser>
        <c:ser>
          <c:idx val="1"/>
          <c:order val="1"/>
          <c:tx>
            <c:v>Skumulowana wartość BIZ z krajów spoza UE w Polsce (mln EUR)</c:v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FDI!$A$7:$A$20</c:f>
              <c:strCache>
                <c:ptCount val="1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</c:strCache>
            </c:strRef>
          </c:cat>
          <c:val>
            <c:numRef>
              <c:f>FDI!$M$7:$M$20</c:f>
              <c:numCache>
                <c:formatCode>#,##0</c:formatCode>
                <c:ptCount val="14"/>
                <c:pt idx="0">
                  <c:v>5309</c:v>
                </c:pt>
                <c:pt idx="1">
                  <c:v>7614</c:v>
                </c:pt>
                <c:pt idx="2">
                  <c:v>8461</c:v>
                </c:pt>
                <c:pt idx="3">
                  <c:v>7990</c:v>
                </c:pt>
                <c:pt idx="4">
                  <c:v>7820</c:v>
                </c:pt>
                <c:pt idx="5">
                  <c:v>9203</c:v>
                </c:pt>
                <c:pt idx="6">
                  <c:v>11374</c:v>
                </c:pt>
                <c:pt idx="7">
                  <c:v>14428</c:v>
                </c:pt>
                <c:pt idx="8">
                  <c:v>18619</c:v>
                </c:pt>
                <c:pt idx="9">
                  <c:v>16884</c:v>
                </c:pt>
                <c:pt idx="10">
                  <c:v>19041</c:v>
                </c:pt>
                <c:pt idx="11">
                  <c:v>25179</c:v>
                </c:pt>
                <c:pt idx="12">
                  <c:v>18997</c:v>
                </c:pt>
                <c:pt idx="13">
                  <c:v>22019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09-46F0-8B25-8E2335AD40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7955631"/>
        <c:axId val="1400963039"/>
      </c:barChart>
      <c:catAx>
        <c:axId val="1397955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400963039"/>
        <c:crosses val="autoZero"/>
        <c:auto val="1"/>
        <c:lblAlgn val="ctr"/>
        <c:lblOffset val="100"/>
        <c:tickMarkSkip val="2"/>
        <c:noMultiLvlLbl val="0"/>
      </c:catAx>
      <c:valAx>
        <c:axId val="1400963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397955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FDI!$S$49</c:f>
              <c:strCache>
                <c:ptCount val="1"/>
                <c:pt idx="0">
                  <c:v>Skumulowana wartość odpływu BIZ z Polski do krajów UE (mln EUR)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FDI!$A$7:$A$20</c:f>
              <c:strCache>
                <c:ptCount val="1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</c:strCache>
            </c:strRef>
          </c:cat>
          <c:val>
            <c:numRef>
              <c:f>FDI!$I$7:$I$20</c:f>
              <c:numCache>
                <c:formatCode>#,##0</c:formatCode>
                <c:ptCount val="14"/>
                <c:pt idx="0">
                  <c:v>449</c:v>
                </c:pt>
                <c:pt idx="1">
                  <c:v>435</c:v>
                </c:pt>
                <c:pt idx="2">
                  <c:v>368</c:v>
                </c:pt>
                <c:pt idx="3">
                  <c:v>575</c:v>
                </c:pt>
                <c:pt idx="4">
                  <c:v>765</c:v>
                </c:pt>
                <c:pt idx="5">
                  <c:v>1143</c:v>
                </c:pt>
                <c:pt idx="6">
                  <c:v>2562</c:v>
                </c:pt>
                <c:pt idx="7">
                  <c:v>7362</c:v>
                </c:pt>
                <c:pt idx="8">
                  <c:v>8586</c:v>
                </c:pt>
                <c:pt idx="9">
                  <c:v>10330</c:v>
                </c:pt>
                <c:pt idx="10">
                  <c:v>12377</c:v>
                </c:pt>
                <c:pt idx="11">
                  <c:v>24940</c:v>
                </c:pt>
                <c:pt idx="12">
                  <c:v>30503</c:v>
                </c:pt>
                <c:pt idx="13">
                  <c:v>33731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FD-4267-87BD-407946FDDD91}"/>
            </c:ext>
          </c:extLst>
        </c:ser>
        <c:ser>
          <c:idx val="1"/>
          <c:order val="1"/>
          <c:tx>
            <c:strRef>
              <c:f>FDI!$S$50</c:f>
              <c:strCache>
                <c:ptCount val="1"/>
                <c:pt idx="0">
                  <c:v>Skumulowana wartość odpływu BIZ z Polski do krajów spoza UE (mln EUR)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FDI!$A$7:$A$20</c:f>
              <c:strCache>
                <c:ptCount val="1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</c:strCache>
            </c:strRef>
          </c:cat>
          <c:val>
            <c:numRef>
              <c:f>FDI!$H$7:$H$20</c:f>
              <c:numCache>
                <c:formatCode>#;\-#;0;@</c:formatCode>
                <c:ptCount val="14"/>
                <c:pt idx="0">
                  <c:v>570</c:v>
                </c:pt>
                <c:pt idx="1">
                  <c:v>659</c:v>
                </c:pt>
                <c:pt idx="2">
                  <c:v>944</c:v>
                </c:pt>
                <c:pt idx="3">
                  <c:v>812</c:v>
                </c:pt>
                <c:pt idx="4">
                  <c:v>944</c:v>
                </c:pt>
                <c:pt idx="5">
                  <c:v>1313</c:v>
                </c:pt>
                <c:pt idx="6">
                  <c:v>2743</c:v>
                </c:pt>
                <c:pt idx="7">
                  <c:v>3516</c:v>
                </c:pt>
                <c:pt idx="8">
                  <c:v>5765</c:v>
                </c:pt>
                <c:pt idx="9">
                  <c:v>6781</c:v>
                </c:pt>
                <c:pt idx="10">
                  <c:v>8150</c:v>
                </c:pt>
                <c:pt idx="11">
                  <c:v>8201</c:v>
                </c:pt>
                <c:pt idx="12">
                  <c:v>10007</c:v>
                </c:pt>
                <c:pt idx="13">
                  <c:v>9913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FD-4267-87BD-407946FDDD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7955631"/>
        <c:axId val="1400963039"/>
      </c:barChart>
      <c:catAx>
        <c:axId val="1397955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2">
                    <a:lumMod val="1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400963039"/>
        <c:crosses val="autoZero"/>
        <c:auto val="1"/>
        <c:lblAlgn val="ctr"/>
        <c:lblOffset val="100"/>
        <c:noMultiLvlLbl val="0"/>
      </c:catAx>
      <c:valAx>
        <c:axId val="1400963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2">
                    <a:lumMod val="1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397955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2">
                  <a:lumMod val="1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bg2">
              <a:lumMod val="10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02077865266844"/>
          <c:y val="5.0925925925925923E-2"/>
          <c:w val="0.81664588801399829"/>
          <c:h val="0.662299139690871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Arkusz2!$C$18</c:f>
              <c:strCache>
                <c:ptCount val="1"/>
                <c:pt idx="0">
                  <c:v> Fundusze Strukturalne 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numRef>
              <c:f>Arkusz2!$B$19:$B$31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Arkusz2!$C$19:$C$31</c:f>
              <c:numCache>
                <c:formatCode>_-* #,##0\ _z_ł_-;\-* #,##0\ _z_ł_-;_-* "-"??\ _z_ł_-;_-@_-</c:formatCode>
                <c:ptCount val="13"/>
                <c:pt idx="0">
                  <c:v>840.97508300000004</c:v>
                </c:pt>
                <c:pt idx="1">
                  <c:v>775.48990700000002</c:v>
                </c:pt>
                <c:pt idx="2">
                  <c:v>1624.9395950000001</c:v>
                </c:pt>
                <c:pt idx="3">
                  <c:v>3448.257787</c:v>
                </c:pt>
                <c:pt idx="4">
                  <c:v>3446.7081149999999</c:v>
                </c:pt>
                <c:pt idx="5">
                  <c:v>3726.7329399999999</c:v>
                </c:pt>
                <c:pt idx="6">
                  <c:v>5377.9369109999998</c:v>
                </c:pt>
                <c:pt idx="7">
                  <c:v>7114.2279550000003</c:v>
                </c:pt>
                <c:pt idx="8">
                  <c:v>7270.5092590000004</c:v>
                </c:pt>
                <c:pt idx="9">
                  <c:v>7050.9354329999996</c:v>
                </c:pt>
                <c:pt idx="10">
                  <c:v>7369.6277339999997</c:v>
                </c:pt>
                <c:pt idx="11">
                  <c:v>4053.1768109999998</c:v>
                </c:pt>
                <c:pt idx="12">
                  <c:v>2768.8490390000002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F5-4D7C-AE52-A98D27A637CB}"/>
            </c:ext>
          </c:extLst>
        </c:ser>
        <c:ser>
          <c:idx val="1"/>
          <c:order val="1"/>
          <c:tx>
            <c:strRef>
              <c:f>Arkusz2!$D$18</c:f>
              <c:strCache>
                <c:ptCount val="1"/>
                <c:pt idx="0">
                  <c:v> Fundusz Spójności 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numRef>
              <c:f>Arkusz2!$B$19:$B$31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Arkusz2!$D$19:$D$31</c:f>
              <c:numCache>
                <c:formatCode>_-* #,##0\ _z_ł_-;\-* #,##0\ _z_ł_-;_-* "-"??\ _z_ł_-;_-@_-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255.73026100000001</c:v>
                </c:pt>
                <c:pt idx="3">
                  <c:v>939.73650799999996</c:v>
                </c:pt>
                <c:pt idx="4">
                  <c:v>1332.0798139999999</c:v>
                </c:pt>
                <c:pt idx="5">
                  <c:v>2269.2172230000001</c:v>
                </c:pt>
                <c:pt idx="6">
                  <c:v>2163.9297649999999</c:v>
                </c:pt>
                <c:pt idx="7">
                  <c:v>2610.4872270000001</c:v>
                </c:pt>
                <c:pt idx="8">
                  <c:v>3174.4730340000001</c:v>
                </c:pt>
                <c:pt idx="9">
                  <c:v>3482.716144</c:v>
                </c:pt>
                <c:pt idx="10">
                  <c:v>4524.5409509999999</c:v>
                </c:pt>
                <c:pt idx="11">
                  <c:v>3811.8991959999998</c:v>
                </c:pt>
                <c:pt idx="12">
                  <c:v>2354.729836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F5-4D7C-AE52-A98D27A637CB}"/>
            </c:ext>
          </c:extLst>
        </c:ser>
        <c:ser>
          <c:idx val="3"/>
          <c:order val="3"/>
          <c:tx>
            <c:strRef>
              <c:f>Arkusz2!$F$18</c:f>
              <c:strCache>
                <c:ptCount val="1"/>
                <c:pt idx="0">
                  <c:v> Inne Fundusze 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numRef>
              <c:f>Arkusz2!$B$19:$B$31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Arkusz2!$F$19:$F$31</c:f>
              <c:numCache>
                <c:formatCode>_-* #,##0\ _z_ł_-;\-* #,##0\ _z_ł_-;_-* "-"??\ _z_ł_-;_-@_-</c:formatCode>
                <c:ptCount val="13"/>
                <c:pt idx="0">
                  <c:v>692.21727099999998</c:v>
                </c:pt>
                <c:pt idx="1">
                  <c:v>901.267788</c:v>
                </c:pt>
                <c:pt idx="2">
                  <c:v>487.31138600000003</c:v>
                </c:pt>
                <c:pt idx="3">
                  <c:v>353.47630900000001</c:v>
                </c:pt>
                <c:pt idx="4">
                  <c:v>374.29413699999998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F5-4D7C-AE52-A98D27A63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636680431"/>
        <c:axId val="1398738383"/>
      </c:barChart>
      <c:lineChart>
        <c:grouping val="standard"/>
        <c:varyColors val="0"/>
        <c:ser>
          <c:idx val="2"/>
          <c:order val="2"/>
          <c:tx>
            <c:strRef>
              <c:f>Arkusz2!$E$18</c:f>
              <c:strCache>
                <c:ptCount val="1"/>
                <c:pt idx="0">
                  <c:v> Składka Członkowska 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Arkusz2!$B$19:$B$31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Arkusz2!$E$19:$E$31</c:f>
              <c:numCache>
                <c:formatCode>_-* #,##0\ _z_ł_-;\-* #,##0\ _z_ł_-;_-* "-"??\ _z_ł_-;_-@_-</c:formatCode>
                <c:ptCount val="13"/>
                <c:pt idx="0">
                  <c:v>1318.979881</c:v>
                </c:pt>
                <c:pt idx="1">
                  <c:v>2379.384673</c:v>
                </c:pt>
                <c:pt idx="2">
                  <c:v>2552.4500979999998</c:v>
                </c:pt>
                <c:pt idx="3">
                  <c:v>2779.298358</c:v>
                </c:pt>
                <c:pt idx="4">
                  <c:v>3402.10833</c:v>
                </c:pt>
                <c:pt idx="5">
                  <c:v>3233.746572</c:v>
                </c:pt>
                <c:pt idx="6">
                  <c:v>3489.9517559999999</c:v>
                </c:pt>
                <c:pt idx="7">
                  <c:v>3733.8694369999998</c:v>
                </c:pt>
                <c:pt idx="8">
                  <c:v>3568.7194800000002</c:v>
                </c:pt>
                <c:pt idx="9">
                  <c:v>4439.0224790000002</c:v>
                </c:pt>
                <c:pt idx="10">
                  <c:v>4153.1015020000004</c:v>
                </c:pt>
                <c:pt idx="11">
                  <c:v>4262.0682379999998</c:v>
                </c:pt>
                <c:pt idx="12">
                  <c:v>5481.6719350000003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7F5-4D7C-AE52-A98D27A63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6680431"/>
        <c:axId val="1398738383"/>
      </c:lineChart>
      <c:catAx>
        <c:axId val="1636680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398738383"/>
        <c:crosses val="autoZero"/>
        <c:auto val="1"/>
        <c:lblAlgn val="ctr"/>
        <c:lblOffset val="100"/>
        <c:noMultiLvlLbl val="0"/>
      </c:catAx>
      <c:valAx>
        <c:axId val="13987383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_z_ł_-;\-* #,##0\ _z_ł_-;_-* &quot;-&quot;??\ _z_ł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6366804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25833333333333"/>
          <c:y val="0.83135024788568113"/>
          <c:w val="0.79594444444444434"/>
          <c:h val="0.15013123359580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GDP!$A$15:$A$28</c:f>
              <c:strCache>
                <c:ptCount val="14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</c:strCache>
            </c:strRef>
          </c:cat>
          <c:val>
            <c:numRef>
              <c:f>GDP!$K$15:$K$28</c:f>
              <c:numCache>
                <c:formatCode>General</c:formatCode>
                <c:ptCount val="14"/>
                <c:pt idx="0">
                  <c:v>10.68167</c:v>
                </c:pt>
                <c:pt idx="1">
                  <c:v>7.3558339999999998</c:v>
                </c:pt>
                <c:pt idx="2">
                  <c:v>5.7774999999999999</c:v>
                </c:pt>
                <c:pt idx="3">
                  <c:v>6.8966669999999999</c:v>
                </c:pt>
                <c:pt idx="4">
                  <c:v>5.2183330000000003</c:v>
                </c:pt>
                <c:pt idx="5">
                  <c:v>5.2316669999999998</c:v>
                </c:pt>
                <c:pt idx="6">
                  <c:v>5.4843339999999996</c:v>
                </c:pt>
                <c:pt idx="7">
                  <c:v>6.0716669999999997</c:v>
                </c:pt>
                <c:pt idx="8">
                  <c:v>6.1205980000000002</c:v>
                </c:pt>
                <c:pt idx="9">
                  <c:v>5.7816669999999997</c:v>
                </c:pt>
                <c:pt idx="10">
                  <c:v>5.9555829999999998</c:v>
                </c:pt>
                <c:pt idx="11">
                  <c:v>4.9992830000000001</c:v>
                </c:pt>
                <c:pt idx="12">
                  <c:v>4.0332920000000003</c:v>
                </c:pt>
                <c:pt idx="13">
                  <c:v>3.5162110000000002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F0-4D8F-AC34-CAB6B4A58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9957727"/>
        <c:axId val="2047729247"/>
      </c:lineChart>
      <c:catAx>
        <c:axId val="1549957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047729247"/>
        <c:crosses val="autoZero"/>
        <c:auto val="1"/>
        <c:lblAlgn val="ctr"/>
        <c:lblOffset val="100"/>
        <c:noMultiLvlLbl val="0"/>
      </c:catAx>
      <c:valAx>
        <c:axId val="2047729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499577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067E-3A3D-47F3-AC78-201DA563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3102</Words>
  <Characters>19051</Characters>
  <Application>Microsoft Office Word</Application>
  <DocSecurity>0</DocSecurity>
  <Lines>501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Urban</dc:creator>
  <cp:keywords/>
  <dc:description/>
  <cp:lastModifiedBy>Mateusz Urban</cp:lastModifiedBy>
  <cp:revision>2</cp:revision>
  <dcterms:created xsi:type="dcterms:W3CDTF">2017-10-31T22:53:00Z</dcterms:created>
  <dcterms:modified xsi:type="dcterms:W3CDTF">2017-10-31T22:53:00Z</dcterms:modified>
</cp:coreProperties>
</file>